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5B994E" w14:textId="77777777" w:rsidR="00253F95" w:rsidRDefault="00000000">
      <w:pPr>
        <w:pStyle w:val="ad"/>
        <w:widowControl/>
        <w:shd w:val="clear" w:color="auto" w:fill="FFFFFF"/>
        <w:spacing w:beforeAutospacing="0" w:afterAutospacing="0" w:line="590" w:lineRule="exact"/>
        <w:jc w:val="center"/>
        <w:rPr>
          <w:rStyle w:val="af0"/>
          <w:rFonts w:ascii="Times New Roman" w:eastAsia="方正小标宋_GBK" w:hAnsi="Times New Roman"/>
          <w:color w:val="0C0C0C"/>
          <w:sz w:val="44"/>
          <w:szCs w:val="32"/>
          <w:shd w:val="clear" w:color="auto" w:fill="FFFFFF"/>
        </w:rPr>
      </w:pPr>
      <w:r>
        <w:rPr>
          <w:rStyle w:val="af0"/>
          <w:rFonts w:ascii="Times New Roman" w:eastAsia="方正小标宋_GBK" w:hAnsi="Times New Roman" w:hint="eastAsia"/>
          <w:color w:val="0C0C0C"/>
          <w:sz w:val="44"/>
          <w:szCs w:val="32"/>
          <w:shd w:val="clear" w:color="auto" w:fill="FFFFFF"/>
        </w:rPr>
        <w:t>江苏省用水权收储管理办法</w:t>
      </w:r>
    </w:p>
    <w:p w14:paraId="40F2500B" w14:textId="77777777" w:rsidR="00253F95" w:rsidRDefault="00253F95">
      <w:pPr>
        <w:pStyle w:val="ad"/>
        <w:widowControl/>
        <w:shd w:val="clear" w:color="auto" w:fill="FFFFFF"/>
        <w:spacing w:beforeAutospacing="0" w:afterAutospacing="0" w:line="590" w:lineRule="exact"/>
        <w:jc w:val="center"/>
        <w:rPr>
          <w:rFonts w:ascii="Times New Roman" w:eastAsia="方正小标宋_GBK" w:hAnsi="Times New Roman"/>
          <w:b/>
          <w:color w:val="666666"/>
          <w:sz w:val="44"/>
          <w:szCs w:val="32"/>
        </w:rPr>
      </w:pPr>
    </w:p>
    <w:p w14:paraId="2AF594A2" w14:textId="77777777" w:rsidR="00253F95" w:rsidRDefault="00000000">
      <w:pPr>
        <w:pStyle w:val="2"/>
        <w:spacing w:beforeLines="0" w:before="0" w:afterLines="0" w:after="0" w:line="590" w:lineRule="exact"/>
        <w:ind w:firstLineChars="200" w:firstLine="634"/>
        <w:jc w:val="center"/>
        <w:rPr>
          <w:rFonts w:ascii="Times New Roman" w:eastAsia="方正黑体_GBK" w:hAnsi="Times New Roman"/>
          <w:b/>
          <w:szCs w:val="22"/>
        </w:rPr>
      </w:pPr>
      <w:bookmarkStart w:id="0" w:name="_Toc17344"/>
      <w:r>
        <w:rPr>
          <w:rFonts w:ascii="Times New Roman" w:eastAsia="方正黑体_GBK" w:hAnsi="Times New Roman" w:hint="eastAsia"/>
          <w:b/>
          <w:szCs w:val="22"/>
        </w:rPr>
        <w:t>第一章</w:t>
      </w:r>
      <w:r>
        <w:rPr>
          <w:rFonts w:ascii="Times New Roman" w:eastAsia="方正黑体_GBK" w:hAnsi="Times New Roman"/>
          <w:b/>
          <w:szCs w:val="22"/>
        </w:rPr>
        <w:t xml:space="preserve">  </w:t>
      </w:r>
      <w:r>
        <w:rPr>
          <w:rFonts w:ascii="Times New Roman" w:eastAsia="方正黑体_GBK" w:hAnsi="Times New Roman" w:hint="eastAsia"/>
          <w:b/>
          <w:szCs w:val="22"/>
        </w:rPr>
        <w:t>总</w:t>
      </w:r>
      <w:r>
        <w:rPr>
          <w:rFonts w:ascii="Times New Roman" w:eastAsia="方正黑体_GBK" w:hAnsi="Times New Roman"/>
          <w:b/>
          <w:szCs w:val="22"/>
        </w:rPr>
        <w:t xml:space="preserve">  </w:t>
      </w:r>
      <w:r>
        <w:rPr>
          <w:rFonts w:ascii="Times New Roman" w:eastAsia="方正黑体_GBK" w:hAnsi="Times New Roman" w:hint="eastAsia"/>
          <w:b/>
          <w:szCs w:val="22"/>
        </w:rPr>
        <w:t>则</w:t>
      </w:r>
      <w:bookmarkEnd w:id="0"/>
    </w:p>
    <w:p w14:paraId="2A53CE24" w14:textId="22648EA1"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666666"/>
          <w:sz w:val="32"/>
          <w:szCs w:val="28"/>
        </w:rPr>
      </w:pPr>
      <w:r>
        <w:rPr>
          <w:rFonts w:ascii="黑体" w:eastAsia="黑体" w:hAnsi="黑体" w:hint="eastAsia"/>
          <w:b/>
          <w:color w:val="0C0C0C"/>
          <w:sz w:val="32"/>
          <w:szCs w:val="28"/>
          <w:shd w:val="clear" w:color="auto" w:fill="FFFFFF"/>
        </w:rPr>
        <w:t>第一条【制定依据】</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为落实“节水优先、空间均衡、系统治理、两手发力”的治水思路，推动建立水资源刚性约束制度，发挥</w:t>
      </w:r>
      <w:r>
        <w:rPr>
          <w:rFonts w:ascii="Times New Roman" w:eastAsia="方正仿宋_GBK" w:hAnsi="Times New Roman" w:hint="eastAsia"/>
          <w:b/>
          <w:sz w:val="32"/>
          <w:szCs w:val="28"/>
          <w:shd w:val="clear" w:color="auto" w:fill="FFFFFF"/>
        </w:rPr>
        <w:t>市</w:t>
      </w:r>
      <w:r>
        <w:rPr>
          <w:rFonts w:ascii="Times New Roman" w:eastAsia="方正仿宋_GBK" w:hAnsi="Times New Roman" w:hint="eastAsia"/>
          <w:b/>
          <w:color w:val="0C0C0C"/>
          <w:sz w:val="32"/>
          <w:szCs w:val="28"/>
          <w:shd w:val="clear" w:color="auto" w:fill="FFFFFF"/>
        </w:rPr>
        <w:t>场机制优化水资源配置作用，规范用水权收储行为，根据国家和我省有关法律法规</w:t>
      </w:r>
      <w:r w:rsidR="00CF5D7D">
        <w:rPr>
          <w:rFonts w:ascii="Times New Roman" w:eastAsia="方正仿宋_GBK" w:hAnsi="Times New Roman" w:hint="eastAsia"/>
          <w:b/>
          <w:color w:val="0C0C0C"/>
          <w:sz w:val="32"/>
          <w:szCs w:val="28"/>
          <w:shd w:val="clear" w:color="auto" w:fill="FFFFFF"/>
        </w:rPr>
        <w:t>和</w:t>
      </w:r>
      <w:r>
        <w:rPr>
          <w:rFonts w:ascii="Times New Roman" w:eastAsia="方正仿宋_GBK" w:hAnsi="Times New Roman" w:hint="eastAsia"/>
          <w:b/>
          <w:color w:val="0C0C0C"/>
          <w:sz w:val="32"/>
          <w:szCs w:val="28"/>
          <w:shd w:val="clear" w:color="auto" w:fill="FFFFFF"/>
        </w:rPr>
        <w:t>用水</w:t>
      </w:r>
      <w:proofErr w:type="gramStart"/>
      <w:r>
        <w:rPr>
          <w:rFonts w:ascii="Times New Roman" w:eastAsia="方正仿宋_GBK" w:hAnsi="Times New Roman" w:hint="eastAsia"/>
          <w:b/>
          <w:color w:val="0C0C0C"/>
          <w:sz w:val="32"/>
          <w:szCs w:val="28"/>
          <w:shd w:val="clear" w:color="auto" w:fill="FFFFFF"/>
        </w:rPr>
        <w:t>权</w:t>
      </w:r>
      <w:r w:rsidR="00CF5D7D">
        <w:rPr>
          <w:rFonts w:ascii="Times New Roman" w:eastAsia="方正仿宋_GBK" w:hAnsi="Times New Roman" w:hint="eastAsia"/>
          <w:b/>
          <w:color w:val="0C0C0C"/>
          <w:sz w:val="32"/>
          <w:szCs w:val="28"/>
          <w:shd w:val="clear" w:color="auto" w:fill="FFFFFF"/>
        </w:rPr>
        <w:t>改革</w:t>
      </w:r>
      <w:proofErr w:type="gramEnd"/>
      <w:r w:rsidR="00CF5D7D">
        <w:rPr>
          <w:rFonts w:ascii="Times New Roman" w:eastAsia="方正仿宋_GBK" w:hAnsi="Times New Roman" w:hint="eastAsia"/>
          <w:b/>
          <w:color w:val="0C0C0C"/>
          <w:sz w:val="32"/>
          <w:szCs w:val="28"/>
          <w:shd w:val="clear" w:color="auto" w:fill="FFFFFF"/>
        </w:rPr>
        <w:t>要求</w:t>
      </w:r>
      <w:r>
        <w:rPr>
          <w:rFonts w:ascii="Times New Roman" w:eastAsia="方正仿宋_GBK" w:hAnsi="Times New Roman" w:hint="eastAsia"/>
          <w:b/>
          <w:color w:val="0C0C0C"/>
          <w:sz w:val="32"/>
          <w:szCs w:val="28"/>
          <w:shd w:val="clear" w:color="auto" w:fill="FFFFFF"/>
        </w:rPr>
        <w:t>，结合</w:t>
      </w:r>
      <w:r w:rsidR="00CF5D7D">
        <w:rPr>
          <w:rFonts w:ascii="Times New Roman" w:eastAsia="方正仿宋_GBK" w:hAnsi="Times New Roman" w:hint="eastAsia"/>
          <w:b/>
          <w:color w:val="0C0C0C"/>
          <w:sz w:val="32"/>
          <w:szCs w:val="28"/>
          <w:shd w:val="clear" w:color="auto" w:fill="FFFFFF"/>
        </w:rPr>
        <w:t>本省</w:t>
      </w:r>
      <w:r>
        <w:rPr>
          <w:rFonts w:ascii="Times New Roman" w:eastAsia="方正仿宋_GBK" w:hAnsi="Times New Roman" w:hint="eastAsia"/>
          <w:b/>
          <w:color w:val="0C0C0C"/>
          <w:sz w:val="32"/>
          <w:szCs w:val="28"/>
          <w:shd w:val="clear" w:color="auto" w:fill="FFFFFF"/>
        </w:rPr>
        <w:t>实际，制定本办法。</w:t>
      </w:r>
    </w:p>
    <w:p w14:paraId="6C17F2E6"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666666"/>
          <w:sz w:val="32"/>
          <w:szCs w:val="28"/>
        </w:rPr>
      </w:pPr>
      <w:r>
        <w:rPr>
          <w:rFonts w:ascii="黑体" w:eastAsia="黑体" w:hAnsi="黑体" w:hint="eastAsia"/>
          <w:b/>
          <w:color w:val="0C0C0C"/>
          <w:sz w:val="32"/>
          <w:szCs w:val="28"/>
          <w:shd w:val="clear" w:color="auto" w:fill="FFFFFF"/>
        </w:rPr>
        <w:t>第二条【适用范围】</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本办法适用于本省行政区域内的用水权收储、配置及监督管理。</w:t>
      </w:r>
    </w:p>
    <w:p w14:paraId="6DCE47C1"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本办法所称用水权，是指水资源的使用权。</w:t>
      </w:r>
    </w:p>
    <w:p w14:paraId="1DA3AE07" w14:textId="10F87B9E"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本办法所称用水权收储，是指县级以上地方人民政府水行政主管部门（以下简称“水行政主管部门”）或其授权的相关机构，对政府节余尚未配置、取水单位或个人闲置或者节余</w:t>
      </w:r>
      <w:r w:rsidR="00CF5D7D">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w:t>
      </w:r>
      <w:proofErr w:type="gramStart"/>
      <w:r>
        <w:rPr>
          <w:rFonts w:ascii="Times New Roman" w:eastAsia="方正仿宋_GBK" w:hAnsi="Times New Roman" w:hint="eastAsia"/>
          <w:b/>
          <w:color w:val="0C0C0C"/>
          <w:sz w:val="32"/>
          <w:szCs w:val="28"/>
          <w:shd w:val="clear" w:color="auto" w:fill="FFFFFF"/>
        </w:rPr>
        <w:t>权通过</w:t>
      </w:r>
      <w:proofErr w:type="gramEnd"/>
      <w:r>
        <w:rPr>
          <w:rFonts w:ascii="Times New Roman" w:eastAsia="方正仿宋_GBK" w:hAnsi="Times New Roman" w:hint="eastAsia"/>
          <w:b/>
          <w:color w:val="0C0C0C"/>
          <w:sz w:val="32"/>
          <w:szCs w:val="28"/>
          <w:shd w:val="clear" w:color="auto" w:fill="FFFFFF"/>
        </w:rPr>
        <w:t>无偿收回、有偿收储等形式，纳入用水</w:t>
      </w:r>
      <w:proofErr w:type="gramStart"/>
      <w:r>
        <w:rPr>
          <w:rFonts w:ascii="Times New Roman" w:eastAsia="方正仿宋_GBK" w:hAnsi="Times New Roman" w:hint="eastAsia"/>
          <w:b/>
          <w:color w:val="0C0C0C"/>
          <w:sz w:val="32"/>
          <w:szCs w:val="28"/>
          <w:shd w:val="clear" w:color="auto" w:fill="FFFFFF"/>
        </w:rPr>
        <w:t>权统一</w:t>
      </w:r>
      <w:proofErr w:type="gramEnd"/>
      <w:r>
        <w:rPr>
          <w:rFonts w:ascii="Times New Roman" w:eastAsia="方正仿宋_GBK" w:hAnsi="Times New Roman" w:hint="eastAsia"/>
          <w:b/>
          <w:color w:val="0C0C0C"/>
          <w:sz w:val="32"/>
          <w:szCs w:val="28"/>
          <w:shd w:val="clear" w:color="auto" w:fill="FFFFFF"/>
        </w:rPr>
        <w:t>配置管理的行为。</w:t>
      </w:r>
    </w:p>
    <w:p w14:paraId="0AA9A8EF"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32"/>
          <w:shd w:val="clear" w:color="auto" w:fill="FFFFFF"/>
        </w:rPr>
      </w:pPr>
      <w:r>
        <w:rPr>
          <w:rFonts w:ascii="黑体" w:eastAsia="黑体" w:hAnsi="黑体" w:hint="eastAsia"/>
          <w:b/>
          <w:color w:val="0C0C0C"/>
          <w:sz w:val="32"/>
          <w:szCs w:val="32"/>
          <w:shd w:val="clear" w:color="auto" w:fill="FFFFFF"/>
        </w:rPr>
        <w:t>第三条【基本原则】</w:t>
      </w:r>
      <w:r>
        <w:rPr>
          <w:b/>
          <w:color w:val="0C0C0C"/>
          <w:sz w:val="32"/>
          <w:szCs w:val="32"/>
          <w:shd w:val="clear" w:color="auto" w:fill="FFFFFF"/>
        </w:rPr>
        <w:t xml:space="preserve">  </w:t>
      </w:r>
      <w:r>
        <w:rPr>
          <w:rFonts w:ascii="Times New Roman" w:eastAsia="方正仿宋_GBK" w:hAnsi="Times New Roman" w:hint="eastAsia"/>
          <w:b/>
          <w:color w:val="0C0C0C"/>
          <w:sz w:val="32"/>
          <w:szCs w:val="28"/>
          <w:shd w:val="clear" w:color="auto" w:fill="FFFFFF"/>
        </w:rPr>
        <w:t>用水权收储遵循</w:t>
      </w:r>
      <w:r>
        <w:rPr>
          <w:rFonts w:ascii="Times New Roman" w:eastAsia="方正仿宋_GBK" w:hAnsi="Times New Roman"/>
          <w:b/>
          <w:color w:val="0C0C0C"/>
          <w:sz w:val="32"/>
          <w:szCs w:val="28"/>
          <w:shd w:val="clear" w:color="auto" w:fill="FFFFFF"/>
        </w:rPr>
        <w:t>“</w:t>
      </w:r>
      <w:r>
        <w:rPr>
          <w:rFonts w:ascii="Times New Roman" w:eastAsia="方正仿宋_GBK" w:hAnsi="Times New Roman" w:hint="eastAsia"/>
          <w:b/>
          <w:color w:val="0C0C0C"/>
          <w:sz w:val="32"/>
          <w:szCs w:val="28"/>
          <w:shd w:val="clear" w:color="auto" w:fill="FFFFFF"/>
        </w:rPr>
        <w:t>政府调控、市场调节、节水优先、分级收储、盘活存量</w:t>
      </w:r>
      <w:r>
        <w:rPr>
          <w:rFonts w:ascii="Times New Roman" w:eastAsia="方正仿宋_GBK" w:hAnsi="Times New Roman"/>
          <w:b/>
          <w:color w:val="0C0C0C"/>
          <w:sz w:val="32"/>
          <w:szCs w:val="28"/>
          <w:shd w:val="clear" w:color="auto" w:fill="FFFFFF"/>
        </w:rPr>
        <w:t>”</w:t>
      </w:r>
      <w:r>
        <w:rPr>
          <w:rFonts w:ascii="Times New Roman" w:eastAsia="方正仿宋_GBK" w:hAnsi="Times New Roman" w:hint="eastAsia"/>
          <w:b/>
          <w:color w:val="0C0C0C"/>
          <w:sz w:val="32"/>
          <w:szCs w:val="28"/>
          <w:shd w:val="clear" w:color="auto" w:fill="FFFFFF"/>
        </w:rPr>
        <w:t>的原则，通过政府调控和市场机制优化配置水资源，推进区域水资源合理配置、高效利用和有效保护。用水权收储不得影</w:t>
      </w:r>
      <w:r>
        <w:rPr>
          <w:rFonts w:ascii="Times New Roman" w:eastAsia="方正仿宋_GBK" w:hAnsi="Times New Roman" w:hint="eastAsia"/>
          <w:b/>
          <w:color w:val="0C0C0C"/>
          <w:sz w:val="32"/>
          <w:szCs w:val="32"/>
          <w:shd w:val="clear" w:color="auto" w:fill="FFFFFF"/>
        </w:rPr>
        <w:t>响、损害第三方的合法权益和公共利益，服从流域管理机构和上级水行政主管部门的监督管理。</w:t>
      </w:r>
    </w:p>
    <w:p w14:paraId="29C28D47" w14:textId="27AB1A3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lastRenderedPageBreak/>
        <w:t>第四条【收储方式】</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水行政主管部门根据区域用水总量控制目标、保障发展需求、市场供需形势等，在</w:t>
      </w:r>
      <w:r w:rsidR="00CF5D7D">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水权市场有偿收储节余用水权</w:t>
      </w:r>
      <w:r>
        <w:rPr>
          <w:rFonts w:ascii="Times New Roman" w:eastAsia="方正仿宋_GBK" w:hAnsi="Times New Roman" w:hint="eastAsia"/>
          <w:b/>
          <w:color w:val="0C0C0C"/>
          <w:sz w:val="32"/>
          <w:szCs w:val="28"/>
          <w:highlight w:val="yellow"/>
          <w:shd w:val="clear" w:color="auto" w:fill="FFFFFF"/>
        </w:rPr>
        <w:t>，无偿取得的用水权直接进行收储。</w:t>
      </w:r>
    </w:p>
    <w:p w14:paraId="092FEEEA"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第五条【职责分工】</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水行政主管部门负责本行政区域用水权收储、配置及监督管理工作，相关部门按照职能共同做好用水权收储、配置及监督管理工作。</w:t>
      </w:r>
    </w:p>
    <w:p w14:paraId="3CE6C45C" w14:textId="77777777" w:rsidR="00253F95" w:rsidRDefault="00253F95">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p>
    <w:p w14:paraId="7C07CA12" w14:textId="77777777" w:rsidR="00253F95" w:rsidRDefault="00000000">
      <w:pPr>
        <w:pStyle w:val="2"/>
        <w:spacing w:beforeLines="0" w:before="0" w:afterLines="0" w:after="0" w:line="590" w:lineRule="exact"/>
        <w:jc w:val="center"/>
        <w:rPr>
          <w:rFonts w:ascii="Times New Roman" w:eastAsia="方正黑体_GBK" w:hAnsi="Times New Roman"/>
          <w:b/>
          <w:szCs w:val="22"/>
        </w:rPr>
      </w:pPr>
      <w:bookmarkStart w:id="1" w:name="_Toc23730"/>
      <w:r>
        <w:rPr>
          <w:rFonts w:ascii="Times New Roman" w:eastAsia="方正黑体_GBK" w:hAnsi="Times New Roman" w:hint="eastAsia"/>
          <w:b/>
          <w:szCs w:val="22"/>
        </w:rPr>
        <w:t>第二章</w:t>
      </w:r>
      <w:r>
        <w:rPr>
          <w:rFonts w:ascii="Times New Roman" w:eastAsia="方正黑体_GBK" w:hAnsi="Times New Roman"/>
          <w:b/>
          <w:szCs w:val="22"/>
        </w:rPr>
        <w:t xml:space="preserve">  </w:t>
      </w:r>
      <w:r>
        <w:rPr>
          <w:rFonts w:ascii="Times New Roman" w:eastAsia="方正黑体_GBK" w:hAnsi="Times New Roman" w:hint="eastAsia"/>
          <w:b/>
          <w:szCs w:val="22"/>
        </w:rPr>
        <w:t>收</w:t>
      </w:r>
      <w:r>
        <w:rPr>
          <w:rFonts w:ascii="Times New Roman" w:eastAsia="方正黑体_GBK" w:hAnsi="Times New Roman"/>
          <w:b/>
          <w:szCs w:val="22"/>
        </w:rPr>
        <w:t xml:space="preserve">  </w:t>
      </w:r>
      <w:r>
        <w:rPr>
          <w:rFonts w:ascii="Times New Roman" w:eastAsia="方正黑体_GBK" w:hAnsi="Times New Roman" w:hint="eastAsia"/>
          <w:b/>
          <w:szCs w:val="22"/>
        </w:rPr>
        <w:t>储</w:t>
      </w:r>
      <w:bookmarkEnd w:id="1"/>
    </w:p>
    <w:p w14:paraId="40D801D3"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b/>
          <w:color w:val="0C0C0C"/>
          <w:sz w:val="32"/>
          <w:szCs w:val="28"/>
          <w:shd w:val="clear" w:color="auto" w:fill="FFFFFF"/>
        </w:rPr>
        <w:t>第六条【收储平台】</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b/>
          <w:color w:val="0C0C0C"/>
          <w:sz w:val="32"/>
          <w:szCs w:val="28"/>
          <w:shd w:val="clear" w:color="auto" w:fill="FFFFFF"/>
        </w:rPr>
        <w:t>鼓励有条件的市、县（市、区）设立</w:t>
      </w:r>
      <w:r>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b/>
          <w:color w:val="0C0C0C"/>
          <w:sz w:val="32"/>
          <w:szCs w:val="28"/>
          <w:shd w:val="clear" w:color="auto" w:fill="FFFFFF"/>
        </w:rPr>
        <w:t>水权收储机构，收储区域用水总量控制节余指标、节约的用水权。水行政主管部门或其授权的收储机构依法收储的用水</w:t>
      </w:r>
      <w:proofErr w:type="gramStart"/>
      <w:r>
        <w:rPr>
          <w:rFonts w:ascii="Times New Roman" w:eastAsia="方正仿宋_GBK" w:hAnsi="Times New Roman"/>
          <w:b/>
          <w:color w:val="0C0C0C"/>
          <w:sz w:val="32"/>
          <w:szCs w:val="28"/>
          <w:shd w:val="clear" w:color="auto" w:fill="FFFFFF"/>
        </w:rPr>
        <w:t>权指标</w:t>
      </w:r>
      <w:proofErr w:type="gramEnd"/>
      <w:r>
        <w:rPr>
          <w:rFonts w:ascii="Times New Roman" w:eastAsia="方正仿宋_GBK" w:hAnsi="Times New Roman"/>
          <w:b/>
          <w:color w:val="0C0C0C"/>
          <w:sz w:val="32"/>
          <w:szCs w:val="28"/>
          <w:shd w:val="clear" w:color="auto" w:fill="FFFFFF"/>
        </w:rPr>
        <w:t>可以交易，也可以重新配置。</w:t>
      </w:r>
    </w:p>
    <w:p w14:paraId="1B7D3AE0"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666666"/>
          <w:sz w:val="32"/>
          <w:szCs w:val="28"/>
        </w:rPr>
      </w:pPr>
      <w:r>
        <w:rPr>
          <w:rFonts w:ascii="黑体" w:eastAsia="黑体" w:hAnsi="黑体" w:hint="eastAsia"/>
          <w:b/>
          <w:color w:val="0C0C0C"/>
          <w:sz w:val="32"/>
          <w:szCs w:val="28"/>
          <w:shd w:val="clear" w:color="auto" w:fill="FFFFFF"/>
        </w:rPr>
        <w:t>第七条【收储模式】</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用水权收储由水行政主管部门组织实施，可以委托第三</w:t>
      </w:r>
      <w:proofErr w:type="gramStart"/>
      <w:r>
        <w:rPr>
          <w:rFonts w:ascii="Times New Roman" w:eastAsia="方正仿宋_GBK" w:hAnsi="Times New Roman" w:hint="eastAsia"/>
          <w:b/>
          <w:color w:val="0C0C0C"/>
          <w:sz w:val="32"/>
          <w:szCs w:val="28"/>
          <w:shd w:val="clear" w:color="auto" w:fill="FFFFFF"/>
        </w:rPr>
        <w:t>方服务</w:t>
      </w:r>
      <w:proofErr w:type="gramEnd"/>
      <w:r>
        <w:rPr>
          <w:rFonts w:ascii="Times New Roman" w:eastAsia="方正仿宋_GBK" w:hAnsi="Times New Roman" w:hint="eastAsia"/>
          <w:b/>
          <w:color w:val="0C0C0C"/>
          <w:sz w:val="32"/>
          <w:szCs w:val="28"/>
          <w:shd w:val="clear" w:color="auto" w:fill="FFFFFF"/>
        </w:rPr>
        <w:t>机构具体实施。</w:t>
      </w:r>
    </w:p>
    <w:p w14:paraId="2E4863F7"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第八条【无偿收储】</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符合下列情形之一的，可以进行用水权无偿收储：</w:t>
      </w:r>
    </w:p>
    <w:p w14:paraId="2A2FC43D"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（一）政府结余尚未配置的用水总量控制指标；</w:t>
      </w:r>
    </w:p>
    <w:p w14:paraId="058812E8"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（二）政府投资实施节水改造工程等措施节约的用水权；</w:t>
      </w:r>
    </w:p>
    <w:p w14:paraId="504A1157"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（三）因城镇扩建公共设施建设以及水利、交通等基础设施建设征用土地而腾出的用水权；</w:t>
      </w:r>
    </w:p>
    <w:p w14:paraId="44882640" w14:textId="6A198433"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lastRenderedPageBreak/>
        <w:t>（四）已取得取水许可证或用水权证的用水户，</w:t>
      </w:r>
      <w:r>
        <w:rPr>
          <w:rFonts w:ascii="Times New Roman" w:eastAsia="方正仿宋_GBK" w:hAnsi="Times New Roman" w:hint="eastAsia"/>
          <w:b/>
          <w:sz w:val="32"/>
          <w:szCs w:val="28"/>
          <w:shd w:val="clear" w:color="auto" w:fill="FFFFFF"/>
        </w:rPr>
        <w:t>连续两年不取用水的闲置用水权或近</w:t>
      </w:r>
      <w:r>
        <w:rPr>
          <w:rFonts w:ascii="Times New Roman" w:eastAsia="方正仿宋_GBK" w:hAnsi="Times New Roman"/>
          <w:b/>
          <w:sz w:val="32"/>
          <w:szCs w:val="28"/>
          <w:shd w:val="clear" w:color="auto" w:fill="FFFFFF"/>
        </w:rPr>
        <w:t>3</w:t>
      </w:r>
      <w:r>
        <w:rPr>
          <w:rFonts w:ascii="Times New Roman" w:eastAsia="方正仿宋_GBK" w:hAnsi="Times New Roman" w:hint="eastAsia"/>
          <w:b/>
          <w:sz w:val="32"/>
          <w:szCs w:val="28"/>
          <w:shd w:val="clear" w:color="auto" w:fill="FFFFFF"/>
        </w:rPr>
        <w:t>年实际用水量低于取水许可量</w:t>
      </w:r>
      <w:r>
        <w:rPr>
          <w:rFonts w:ascii="Times New Roman" w:eastAsia="方正仿宋_GBK" w:hAnsi="Times New Roman"/>
          <w:b/>
          <w:sz w:val="32"/>
          <w:szCs w:val="28"/>
          <w:shd w:val="clear" w:color="auto" w:fill="FFFFFF"/>
        </w:rPr>
        <w:t>80%</w:t>
      </w:r>
      <w:r>
        <w:rPr>
          <w:rFonts w:ascii="Times New Roman" w:eastAsia="方正仿宋_GBK" w:hAnsi="Times New Roman" w:hint="eastAsia"/>
          <w:b/>
          <w:sz w:val="32"/>
          <w:szCs w:val="28"/>
          <w:shd w:val="clear" w:color="auto" w:fill="FFFFFF"/>
        </w:rPr>
        <w:t>的闲置</w:t>
      </w:r>
      <w:r w:rsidR="00CF5D7D">
        <w:rPr>
          <w:rFonts w:ascii="Times New Roman" w:eastAsia="方正仿宋_GBK" w:hAnsi="Times New Roman" w:hint="eastAsia"/>
          <w:b/>
          <w:sz w:val="32"/>
          <w:szCs w:val="28"/>
          <w:shd w:val="clear" w:color="auto" w:fill="FFFFFF"/>
        </w:rPr>
        <w:t>用</w:t>
      </w:r>
      <w:r>
        <w:rPr>
          <w:rFonts w:ascii="Times New Roman" w:eastAsia="方正仿宋_GBK" w:hAnsi="Times New Roman" w:hint="eastAsia"/>
          <w:b/>
          <w:sz w:val="32"/>
          <w:szCs w:val="28"/>
          <w:shd w:val="clear" w:color="auto" w:fill="FFFFFF"/>
        </w:rPr>
        <w:t>水权</w:t>
      </w:r>
      <w:r>
        <w:rPr>
          <w:rFonts w:ascii="Times New Roman" w:eastAsia="方正仿宋_GBK" w:hAnsi="Times New Roman" w:hint="eastAsia"/>
          <w:b/>
          <w:color w:val="0C0C0C"/>
          <w:sz w:val="32"/>
          <w:szCs w:val="28"/>
          <w:shd w:val="clear" w:color="auto" w:fill="FFFFFF"/>
        </w:rPr>
        <w:t>；</w:t>
      </w:r>
    </w:p>
    <w:p w14:paraId="36303174"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（五）因破产、关停、被取缔以及迁出区域的用水户所持有的用水权；</w:t>
      </w:r>
    </w:p>
    <w:p w14:paraId="1F63C8D6"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（六）法律、法规规定的其他情形。</w:t>
      </w:r>
    </w:p>
    <w:p w14:paraId="521C6A38"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第九条【有偿收储】</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符合下列情形之一的，可以进行用水权有偿收储：</w:t>
      </w:r>
    </w:p>
    <w:p w14:paraId="2723D431"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（一）取用水户通过节水技改节约的用水权；</w:t>
      </w:r>
    </w:p>
    <w:p w14:paraId="24901A38" w14:textId="1DAEC6F6"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（二）取用水户通过</w:t>
      </w:r>
      <w:r w:rsidR="00CF5D7D">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水权交易有偿购买的用水权；</w:t>
      </w:r>
    </w:p>
    <w:p w14:paraId="474A9595"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（三）社会资本投资实施节水改造工程等措施节约的用水权。</w:t>
      </w:r>
    </w:p>
    <w:p w14:paraId="13595AA9"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666666"/>
          <w:sz w:val="32"/>
          <w:szCs w:val="28"/>
        </w:rPr>
      </w:pPr>
      <w:r>
        <w:rPr>
          <w:rFonts w:ascii="黑体" w:eastAsia="黑体" w:hAnsi="黑体" w:hint="eastAsia"/>
          <w:b/>
          <w:color w:val="0C0C0C"/>
          <w:sz w:val="32"/>
          <w:szCs w:val="28"/>
          <w:shd w:val="clear" w:color="auto" w:fill="FFFFFF"/>
        </w:rPr>
        <w:t>第十条【收储认定和主体】</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用水权收储指标认定和收储的主体，按以下规定确定：</w:t>
      </w:r>
    </w:p>
    <w:p w14:paraId="65F7BD97"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666666"/>
          <w:sz w:val="32"/>
          <w:szCs w:val="28"/>
        </w:rPr>
      </w:pPr>
      <w:r>
        <w:rPr>
          <w:rFonts w:ascii="Times New Roman" w:eastAsia="方正仿宋_GBK" w:hAnsi="Times New Roman" w:hint="eastAsia"/>
          <w:b/>
          <w:color w:val="0C0C0C"/>
          <w:sz w:val="32"/>
          <w:szCs w:val="28"/>
          <w:shd w:val="clear" w:color="auto" w:fill="FFFFFF"/>
        </w:rPr>
        <w:t>（一）属于第八条第（</w:t>
      </w:r>
      <w:proofErr w:type="gramStart"/>
      <w:r>
        <w:rPr>
          <w:rFonts w:ascii="Times New Roman" w:eastAsia="方正仿宋_GBK" w:hAnsi="Times New Roman" w:hint="eastAsia"/>
          <w:b/>
          <w:color w:val="0C0C0C"/>
          <w:sz w:val="32"/>
          <w:szCs w:val="28"/>
          <w:shd w:val="clear" w:color="auto" w:fill="FFFFFF"/>
        </w:rPr>
        <w:t>一</w:t>
      </w:r>
      <w:proofErr w:type="gramEnd"/>
      <w:r>
        <w:rPr>
          <w:rFonts w:ascii="Times New Roman" w:eastAsia="方正仿宋_GBK" w:hAnsi="Times New Roman" w:hint="eastAsia"/>
          <w:b/>
          <w:color w:val="0C0C0C"/>
          <w:sz w:val="32"/>
          <w:szCs w:val="28"/>
          <w:shd w:val="clear" w:color="auto" w:fill="FFFFFF"/>
        </w:rPr>
        <w:t>）（二）（三）项情形中的用水权收储指标，由属地水行政主管部门负责；鼓励社会资本进入用水权收储市场，属于第九条第（三）项情形中的用水权收储指标，由水行政主管部门负责认定和收储，跨行政区域的由共同的上级水行政主管负责认定和收储。</w:t>
      </w:r>
    </w:p>
    <w:p w14:paraId="6C312C89"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（二）属于第八条第（四）（五）（六）项或第九条第（</w:t>
      </w:r>
      <w:proofErr w:type="gramStart"/>
      <w:r>
        <w:rPr>
          <w:rFonts w:ascii="Times New Roman" w:eastAsia="方正仿宋_GBK" w:hAnsi="Times New Roman" w:hint="eastAsia"/>
          <w:b/>
          <w:color w:val="0C0C0C"/>
          <w:sz w:val="32"/>
          <w:szCs w:val="28"/>
          <w:shd w:val="clear" w:color="auto" w:fill="FFFFFF"/>
        </w:rPr>
        <w:t>一</w:t>
      </w:r>
      <w:proofErr w:type="gramEnd"/>
      <w:r>
        <w:rPr>
          <w:rFonts w:ascii="Times New Roman" w:eastAsia="方正仿宋_GBK" w:hAnsi="Times New Roman" w:hint="eastAsia"/>
          <w:b/>
          <w:color w:val="0C0C0C"/>
          <w:sz w:val="32"/>
          <w:szCs w:val="28"/>
          <w:shd w:val="clear" w:color="auto" w:fill="FFFFFF"/>
        </w:rPr>
        <w:t>）（二）项情形中的用水权收储指标，涉及不同审批机关的，应当</w:t>
      </w:r>
      <w:r>
        <w:rPr>
          <w:rFonts w:ascii="Times New Roman" w:eastAsia="方正仿宋_GBK" w:hAnsi="Times New Roman" w:hint="eastAsia"/>
          <w:b/>
          <w:color w:val="0C0C0C"/>
          <w:sz w:val="32"/>
          <w:szCs w:val="28"/>
          <w:shd w:val="clear" w:color="auto" w:fill="FFFFFF"/>
        </w:rPr>
        <w:lastRenderedPageBreak/>
        <w:t>征得相应审批机关的同意后，由水行政主管部门负责认定和收储，跨行政区域的由共同的上级水行政主管部门负责认定和收储。</w:t>
      </w:r>
    </w:p>
    <w:p w14:paraId="79083849" w14:textId="55137DA5"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第十一条【无偿收储流程】</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水行政主管部门根据管理权限认定属于无偿收储的用水权，组织完成区域总量指标调整、取水许可变更或注销等手续，向用水权收储机构下达《用水权收储告知书》，明确收储</w:t>
      </w:r>
      <w:r w:rsidR="00CF5D7D">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水权规模。</w:t>
      </w:r>
    </w:p>
    <w:p w14:paraId="4B6439BC"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第十二条【有偿收储流程】</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有偿收储按照以下流程开展：</w:t>
      </w:r>
    </w:p>
    <w:p w14:paraId="5F07CCD1"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（一）收储意愿征询。用水权收储机构，按照自愿的原则，</w:t>
      </w:r>
      <w:proofErr w:type="gramStart"/>
      <w:r>
        <w:rPr>
          <w:rFonts w:ascii="Times New Roman" w:eastAsia="方正仿宋_GBK" w:hAnsi="Times New Roman" w:hint="eastAsia"/>
          <w:b/>
          <w:color w:val="0C0C0C"/>
          <w:sz w:val="32"/>
          <w:szCs w:val="28"/>
          <w:shd w:val="clear" w:color="auto" w:fill="FFFFFF"/>
        </w:rPr>
        <w:t>向指标</w:t>
      </w:r>
      <w:proofErr w:type="gramEnd"/>
      <w:r>
        <w:rPr>
          <w:rFonts w:ascii="Times New Roman" w:eastAsia="方正仿宋_GBK" w:hAnsi="Times New Roman" w:hint="eastAsia"/>
          <w:b/>
          <w:color w:val="0C0C0C"/>
          <w:sz w:val="32"/>
          <w:szCs w:val="28"/>
          <w:shd w:val="clear" w:color="auto" w:fill="FFFFFF"/>
        </w:rPr>
        <w:t>持有者提出收储意向，达成意向的签署《用水权收储意愿书》，并报属地水行政主管部门。</w:t>
      </w:r>
    </w:p>
    <w:p w14:paraId="59BECC1C"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（二）收储水量核定。水行政主管部门应当组织对用水单位节水措施的真实性和有效性进行核实，综合考虑节水量、损失水量、用水保证率转换等因素，出具可收储水量认定书。</w:t>
      </w:r>
    </w:p>
    <w:p w14:paraId="27BA2B23" w14:textId="67C7F835"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Times New Roman" w:eastAsia="方正仿宋_GBK" w:hAnsi="Times New Roman" w:hint="eastAsia"/>
          <w:b/>
          <w:color w:val="0C0C0C"/>
          <w:sz w:val="32"/>
          <w:szCs w:val="28"/>
          <w:shd w:val="clear" w:color="auto" w:fill="FFFFFF"/>
        </w:rPr>
        <w:t>（三）收储及备案。用水权收储机构与原持有人签订《用水权收储协议》，并将用水权收储协议报属地水行政主管部门备案。</w:t>
      </w:r>
    </w:p>
    <w:p w14:paraId="2C15B65B" w14:textId="2C058D1F"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第十三条【收储价格】</w:t>
      </w:r>
      <w:r>
        <w:rPr>
          <w:rFonts w:ascii="Times New Roman" w:eastAsia="方正仿宋_GBK" w:hAnsi="Times New Roman"/>
          <w:b/>
          <w:color w:val="0C0C0C"/>
          <w:sz w:val="32"/>
          <w:szCs w:val="28"/>
          <w:shd w:val="clear" w:color="auto" w:fill="FFFFFF"/>
        </w:rPr>
        <w:t xml:space="preserve">  </w:t>
      </w:r>
      <w:r w:rsidR="00CF5D7D">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权有偿收储应当实行差别化收储价格标准，明确基准价格和浮动比例，基准价格综合考虑水资源稀缺程度、工农业节水潜力、生态补偿标准、用水机会成本和节水改造成本等因素综合确定，浮动比例根据取用水户或个人节水投入和有偿取得用水权等条件综合确定。</w:t>
      </w:r>
      <w:r w:rsidR="00CF5D7D">
        <w:rPr>
          <w:rFonts w:ascii="Times New Roman" w:eastAsia="方正仿宋_GBK" w:hAnsi="Times New Roman" w:hint="eastAsia"/>
          <w:b/>
          <w:color w:val="0C0C0C"/>
          <w:sz w:val="32"/>
          <w:szCs w:val="28"/>
          <w:shd w:val="clear" w:color="auto" w:fill="FFFFFF"/>
        </w:rPr>
        <w:t>具体标准由各地根据情况会同相关部门制定。</w:t>
      </w:r>
    </w:p>
    <w:p w14:paraId="58019653"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lastRenderedPageBreak/>
        <w:t>第十四条【收储期限】</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区域用水权收储的期限应当与区域用水总量控制指标分配确定的规划水平</w:t>
      </w:r>
      <w:proofErr w:type="gramStart"/>
      <w:r>
        <w:rPr>
          <w:rFonts w:ascii="Times New Roman" w:eastAsia="方正仿宋_GBK" w:hAnsi="Times New Roman" w:hint="eastAsia"/>
          <w:b/>
          <w:color w:val="0C0C0C"/>
          <w:sz w:val="32"/>
          <w:szCs w:val="28"/>
          <w:shd w:val="clear" w:color="auto" w:fill="FFFFFF"/>
        </w:rPr>
        <w:t>年范围</w:t>
      </w:r>
      <w:proofErr w:type="gramEnd"/>
      <w:r>
        <w:rPr>
          <w:rFonts w:ascii="Times New Roman" w:eastAsia="方正仿宋_GBK" w:hAnsi="Times New Roman" w:hint="eastAsia"/>
          <w:b/>
          <w:color w:val="0C0C0C"/>
          <w:sz w:val="32"/>
          <w:szCs w:val="28"/>
          <w:shd w:val="clear" w:color="auto" w:fill="FFFFFF"/>
        </w:rPr>
        <w:t>之内。有偿收储节约指标的，期限应当控制在相应的取水许可有效期范围内。</w:t>
      </w:r>
    </w:p>
    <w:p w14:paraId="2E873CC2" w14:textId="77777777" w:rsidR="00253F95" w:rsidRDefault="00253F95">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p>
    <w:p w14:paraId="103DA9AB" w14:textId="77777777" w:rsidR="00253F95" w:rsidRDefault="00000000">
      <w:pPr>
        <w:pStyle w:val="2"/>
        <w:spacing w:beforeLines="0" w:before="0" w:afterLines="0" w:after="0" w:line="590" w:lineRule="exact"/>
        <w:jc w:val="center"/>
        <w:rPr>
          <w:rFonts w:ascii="Times New Roman" w:eastAsia="方正黑体_GBK" w:hAnsi="Times New Roman"/>
          <w:b/>
          <w:szCs w:val="22"/>
        </w:rPr>
      </w:pPr>
      <w:r>
        <w:rPr>
          <w:rFonts w:ascii="Times New Roman" w:eastAsia="方正黑体_GBK" w:hAnsi="Times New Roman" w:hint="eastAsia"/>
          <w:b/>
          <w:szCs w:val="22"/>
        </w:rPr>
        <w:t>第三章</w:t>
      </w:r>
      <w:r>
        <w:rPr>
          <w:rFonts w:ascii="Times New Roman" w:eastAsia="方正黑体_GBK" w:hAnsi="Times New Roman"/>
          <w:b/>
          <w:szCs w:val="22"/>
        </w:rPr>
        <w:t xml:space="preserve">  </w:t>
      </w:r>
      <w:r>
        <w:rPr>
          <w:rFonts w:ascii="Times New Roman" w:eastAsia="方正黑体_GBK" w:hAnsi="Times New Roman" w:hint="eastAsia"/>
          <w:b/>
          <w:szCs w:val="22"/>
        </w:rPr>
        <w:t>配</w:t>
      </w:r>
      <w:r>
        <w:rPr>
          <w:rFonts w:ascii="Times New Roman" w:eastAsia="方正黑体_GBK" w:hAnsi="Times New Roman"/>
          <w:b/>
          <w:szCs w:val="22"/>
        </w:rPr>
        <w:t xml:space="preserve">  </w:t>
      </w:r>
      <w:r>
        <w:rPr>
          <w:rFonts w:ascii="Times New Roman" w:eastAsia="方正黑体_GBK" w:hAnsi="Times New Roman" w:hint="eastAsia"/>
          <w:b/>
          <w:szCs w:val="22"/>
        </w:rPr>
        <w:t>置</w:t>
      </w:r>
    </w:p>
    <w:p w14:paraId="4FF0E31D" w14:textId="65D74DD2"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第十五条【收储后管理】</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用水权收储完成后，水行政主管部门或行政审批主管部门依法对原持有人核销</w:t>
      </w:r>
      <w:r w:rsidR="00CF5D7D">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水权指标，并依法办理区域总量指标调整、取水许可变更或注销等手续。</w:t>
      </w:r>
    </w:p>
    <w:p w14:paraId="6A62FCF6"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第十六条【收储水权无偿配置】</w:t>
      </w:r>
      <w:r>
        <w:rPr>
          <w:b/>
          <w:color w:val="0C0C0C"/>
          <w:szCs w:val="28"/>
          <w:shd w:val="clear" w:color="auto" w:fill="FFFFFF"/>
        </w:rPr>
        <w:t xml:space="preserve">  </w:t>
      </w:r>
      <w:r>
        <w:rPr>
          <w:rFonts w:ascii="Times New Roman" w:eastAsia="方正仿宋_GBK" w:hAnsi="Times New Roman" w:hint="eastAsia"/>
          <w:b/>
          <w:color w:val="0C0C0C"/>
          <w:sz w:val="32"/>
          <w:szCs w:val="28"/>
          <w:shd w:val="clear" w:color="auto" w:fill="FFFFFF"/>
        </w:rPr>
        <w:t>无偿收储的用水权</w:t>
      </w:r>
      <w:r>
        <w:rPr>
          <w:rFonts w:ascii="Times New Roman" w:eastAsia="方正仿宋_GBK" w:hAnsi="Times New Roman"/>
          <w:b/>
          <w:color w:val="0C0C0C"/>
          <w:sz w:val="32"/>
          <w:szCs w:val="28"/>
          <w:shd w:val="clear" w:color="auto" w:fill="FFFFFF"/>
        </w:rPr>
        <w:t>可以采用</w:t>
      </w:r>
      <w:r>
        <w:rPr>
          <w:rFonts w:ascii="Times New Roman" w:eastAsia="方正仿宋_GBK" w:hAnsi="Times New Roman" w:hint="eastAsia"/>
          <w:b/>
          <w:color w:val="0C0C0C"/>
          <w:sz w:val="32"/>
          <w:szCs w:val="28"/>
          <w:shd w:val="clear" w:color="auto" w:fill="FFFFFF"/>
        </w:rPr>
        <w:t>无偿的模式进行配置，应当优先考虑社会环境效益较高的重大民生工程或者对促进产业结构升级具有突出作用的项目，保障社会可持续发展和促进产业结构调整。</w:t>
      </w:r>
    </w:p>
    <w:p w14:paraId="728F52CA" w14:textId="0FD16E33" w:rsidR="00253F95" w:rsidRDefault="00000000">
      <w:pPr>
        <w:pStyle w:val="ad"/>
        <w:widowControl/>
        <w:shd w:val="clear" w:color="auto" w:fill="FFFFFF"/>
        <w:spacing w:beforeAutospacing="0" w:afterAutospacing="0" w:line="590" w:lineRule="exact"/>
        <w:ind w:firstLineChars="300" w:firstLine="951"/>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第十七条【收储水权有偿配置】</w:t>
      </w:r>
      <w:r>
        <w:rPr>
          <w:b/>
          <w:color w:val="0C0C0C"/>
          <w:szCs w:val="28"/>
          <w:shd w:val="clear" w:color="auto" w:fill="FFFFFF"/>
        </w:rPr>
        <w:t xml:space="preserve">  </w:t>
      </w:r>
      <w:r>
        <w:rPr>
          <w:rFonts w:ascii="Times New Roman" w:eastAsia="方正仿宋_GBK" w:hAnsi="Times New Roman" w:hint="eastAsia"/>
          <w:b/>
          <w:color w:val="0C0C0C"/>
          <w:sz w:val="32"/>
          <w:szCs w:val="28"/>
          <w:shd w:val="clear" w:color="auto" w:fill="FFFFFF"/>
        </w:rPr>
        <w:t>有偿收储的</w:t>
      </w:r>
      <w:r w:rsidR="00CF5D7D">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w:t>
      </w:r>
      <w:proofErr w:type="gramStart"/>
      <w:r>
        <w:rPr>
          <w:rFonts w:ascii="Times New Roman" w:eastAsia="方正仿宋_GBK" w:hAnsi="Times New Roman" w:hint="eastAsia"/>
          <w:b/>
          <w:color w:val="0C0C0C"/>
          <w:sz w:val="32"/>
          <w:szCs w:val="28"/>
          <w:shd w:val="clear" w:color="auto" w:fill="FFFFFF"/>
        </w:rPr>
        <w:t>权采用</w:t>
      </w:r>
      <w:proofErr w:type="gramEnd"/>
      <w:r>
        <w:rPr>
          <w:rFonts w:ascii="Times New Roman" w:eastAsia="方正仿宋_GBK" w:hAnsi="Times New Roman" w:hint="eastAsia"/>
          <w:b/>
          <w:color w:val="0C0C0C"/>
          <w:sz w:val="32"/>
          <w:szCs w:val="28"/>
          <w:shd w:val="clear" w:color="auto" w:fill="FFFFFF"/>
        </w:rPr>
        <w:t>有偿的模式进行配置，有偿配置优先保障重大工业项目或者区域政府建设的重点项目。</w:t>
      </w:r>
    </w:p>
    <w:p w14:paraId="50E0DE35" w14:textId="77777777" w:rsidR="00253F95" w:rsidRDefault="00000000">
      <w:pPr>
        <w:pStyle w:val="ad"/>
        <w:widowControl/>
        <w:shd w:val="clear" w:color="auto" w:fill="FFFFFF"/>
        <w:spacing w:beforeAutospacing="0" w:afterAutospacing="0" w:line="590" w:lineRule="exact"/>
        <w:ind w:firstLineChars="300" w:firstLine="951"/>
        <w:jc w:val="both"/>
        <w:rPr>
          <w:rFonts w:ascii="黑体" w:eastAsia="黑体" w:hAnsi="黑体"/>
          <w:b/>
          <w:color w:val="0C0C0C"/>
          <w:sz w:val="32"/>
          <w:szCs w:val="28"/>
          <w:shd w:val="clear" w:color="auto" w:fill="FFFFFF"/>
        </w:rPr>
      </w:pPr>
      <w:r>
        <w:rPr>
          <w:rFonts w:ascii="黑体" w:eastAsia="黑体" w:hAnsi="黑体" w:hint="eastAsia"/>
          <w:b/>
          <w:color w:val="0C0C0C"/>
          <w:sz w:val="32"/>
          <w:szCs w:val="28"/>
          <w:shd w:val="clear" w:color="auto" w:fill="FFFFFF"/>
        </w:rPr>
        <w:t xml:space="preserve">第十八条【水权申购】  </w:t>
      </w:r>
      <w:r>
        <w:rPr>
          <w:rFonts w:ascii="Times New Roman" w:eastAsia="方正仿宋_GBK" w:hAnsi="Times New Roman"/>
          <w:b/>
          <w:color w:val="0C0C0C"/>
          <w:sz w:val="32"/>
          <w:szCs w:val="28"/>
          <w:shd w:val="clear" w:color="auto" w:fill="FFFFFF"/>
        </w:rPr>
        <w:t>开展用水权收储的地区，</w:t>
      </w:r>
      <w:r>
        <w:rPr>
          <w:rFonts w:ascii="Times New Roman" w:eastAsia="方正仿宋_GBK" w:hAnsi="Times New Roman" w:hint="eastAsia"/>
          <w:b/>
          <w:color w:val="0C0C0C"/>
          <w:sz w:val="32"/>
          <w:szCs w:val="28"/>
          <w:shd w:val="clear" w:color="auto" w:fill="FFFFFF"/>
        </w:rPr>
        <w:t>新增取水项目水权原则上应先向用水权收储机构进行申购。用水权收储机构按照流程对申购需求进行核定，明确配置形式。</w:t>
      </w:r>
    </w:p>
    <w:p w14:paraId="4DBA648A" w14:textId="77777777" w:rsidR="00253F95" w:rsidRDefault="00253F95">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p>
    <w:p w14:paraId="6C3A0A07" w14:textId="77777777" w:rsidR="00253F95" w:rsidRDefault="00000000">
      <w:pPr>
        <w:pStyle w:val="2"/>
        <w:spacing w:beforeLines="0" w:before="0" w:afterLines="0" w:after="0" w:line="590" w:lineRule="exact"/>
        <w:jc w:val="center"/>
        <w:rPr>
          <w:rFonts w:ascii="Times New Roman" w:eastAsia="方正黑体_GBK" w:hAnsi="Times New Roman"/>
          <w:b/>
          <w:szCs w:val="22"/>
        </w:rPr>
      </w:pPr>
      <w:bookmarkStart w:id="2" w:name="_Toc19054"/>
      <w:r>
        <w:rPr>
          <w:rFonts w:ascii="Times New Roman" w:eastAsia="方正黑体_GBK" w:hAnsi="Times New Roman" w:hint="eastAsia"/>
          <w:b/>
          <w:szCs w:val="22"/>
        </w:rPr>
        <w:lastRenderedPageBreak/>
        <w:t>第四章</w:t>
      </w:r>
      <w:r>
        <w:rPr>
          <w:rFonts w:ascii="Times New Roman" w:eastAsia="方正黑体_GBK" w:hAnsi="Times New Roman" w:hint="eastAsia"/>
          <w:b/>
          <w:szCs w:val="22"/>
        </w:rPr>
        <w:t xml:space="preserve">  </w:t>
      </w:r>
      <w:bookmarkStart w:id="3" w:name="_Toc12853"/>
      <w:bookmarkEnd w:id="2"/>
      <w:r>
        <w:rPr>
          <w:rFonts w:ascii="Times New Roman" w:eastAsia="方正黑体_GBK" w:hAnsi="Times New Roman" w:hint="eastAsia"/>
          <w:b/>
          <w:szCs w:val="22"/>
        </w:rPr>
        <w:t>监督管理</w:t>
      </w:r>
      <w:bookmarkEnd w:id="3"/>
    </w:p>
    <w:p w14:paraId="2A115ED7"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第十九条【资金管理】</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用水权收储所得实行专款专用，主要用于开展用水权收储、水利基础设施建设及运行维护、水资源管理与保护、节水改造与奖励等水利发展投入。鼓励国有企业和金融机构积极参与用水权收储活动，建立多元化投融资协调机制。</w:t>
      </w:r>
    </w:p>
    <w:p w14:paraId="45CFBB9D"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第二十条【报备制度】</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b/>
          <w:color w:val="0C0C0C"/>
          <w:sz w:val="32"/>
          <w:szCs w:val="28"/>
          <w:shd w:val="clear" w:color="auto" w:fill="FFFFFF"/>
        </w:rPr>
        <w:t>开展用水权收储的地区，水行政主管部门应当于每年</w:t>
      </w:r>
      <w:r>
        <w:rPr>
          <w:rFonts w:ascii="Times New Roman" w:eastAsia="方正仿宋_GBK" w:hAnsi="Times New Roman"/>
          <w:b/>
          <w:color w:val="0C0C0C"/>
          <w:sz w:val="32"/>
          <w:szCs w:val="28"/>
          <w:shd w:val="clear" w:color="auto" w:fill="FFFFFF"/>
        </w:rPr>
        <w:t>12</w:t>
      </w:r>
      <w:r>
        <w:rPr>
          <w:rFonts w:ascii="Times New Roman" w:eastAsia="方正仿宋_GBK" w:hAnsi="Times New Roman"/>
          <w:b/>
          <w:color w:val="0C0C0C"/>
          <w:sz w:val="32"/>
          <w:szCs w:val="28"/>
          <w:shd w:val="clear" w:color="auto" w:fill="FFFFFF"/>
        </w:rPr>
        <w:t>月</w:t>
      </w:r>
      <w:r>
        <w:rPr>
          <w:rFonts w:ascii="Times New Roman" w:eastAsia="方正仿宋_GBK" w:hAnsi="Times New Roman"/>
          <w:b/>
          <w:color w:val="0C0C0C"/>
          <w:sz w:val="32"/>
          <w:szCs w:val="28"/>
          <w:shd w:val="clear" w:color="auto" w:fill="FFFFFF"/>
        </w:rPr>
        <w:t>31</w:t>
      </w:r>
      <w:r>
        <w:rPr>
          <w:rFonts w:ascii="Times New Roman" w:eastAsia="方正仿宋_GBK" w:hAnsi="Times New Roman"/>
          <w:b/>
          <w:color w:val="0C0C0C"/>
          <w:sz w:val="32"/>
          <w:szCs w:val="28"/>
          <w:shd w:val="clear" w:color="auto" w:fill="FFFFFF"/>
        </w:rPr>
        <w:t>日前将当年用水权收储情况及时报上一级水行政主管部门备案。</w:t>
      </w:r>
    </w:p>
    <w:p w14:paraId="099F98A5"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第二十一条【监管权责】</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水行政主管部门应当加强用水权收储、配置及监督管理，</w:t>
      </w:r>
      <w:r>
        <w:rPr>
          <w:rFonts w:ascii="Times New Roman" w:eastAsia="方正仿宋_GBK" w:hAnsi="Times New Roman"/>
          <w:b/>
          <w:color w:val="0C0C0C"/>
          <w:sz w:val="32"/>
          <w:szCs w:val="28"/>
          <w:shd w:val="clear" w:color="auto" w:fill="FFFFFF"/>
        </w:rPr>
        <w:t>完善用水计量监测设施建设，定期开展用水权收储后评估</w:t>
      </w:r>
      <w:r>
        <w:rPr>
          <w:rFonts w:ascii="Times New Roman" w:eastAsia="方正仿宋_GBK" w:hAnsi="Times New Roman" w:hint="eastAsia"/>
          <w:b/>
          <w:color w:val="0C0C0C"/>
          <w:sz w:val="32"/>
          <w:szCs w:val="28"/>
          <w:shd w:val="clear" w:color="auto" w:fill="FFFFFF"/>
        </w:rPr>
        <w:t>，通过政府网站等平台依法公开用水权收储有关情况。</w:t>
      </w:r>
    </w:p>
    <w:p w14:paraId="7D60069B"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第二十三条【责任追究】</w:t>
      </w:r>
      <w:r w:rsidRPr="00B633A7">
        <w:rPr>
          <w:rFonts w:ascii="Times New Roman" w:eastAsia="方正仿宋_GBK" w:hAnsi="Times New Roman"/>
          <w:b/>
          <w:color w:val="0C0C0C"/>
          <w:sz w:val="32"/>
          <w:szCs w:val="28"/>
          <w:shd w:val="clear" w:color="auto" w:fill="FFFFFF"/>
        </w:rPr>
        <w:t xml:space="preserve">  </w:t>
      </w:r>
      <w:r w:rsidRPr="00B633A7">
        <w:rPr>
          <w:rFonts w:ascii="Times New Roman" w:eastAsia="方正仿宋_GBK" w:hAnsi="Times New Roman" w:hint="eastAsia"/>
          <w:b/>
          <w:color w:val="0C0C0C"/>
          <w:sz w:val="32"/>
          <w:szCs w:val="28"/>
          <w:shd w:val="clear" w:color="auto" w:fill="FFFFFF"/>
        </w:rPr>
        <w:t>用</w:t>
      </w:r>
      <w:r>
        <w:rPr>
          <w:rFonts w:ascii="Times New Roman" w:eastAsia="方正仿宋_GBK" w:hAnsi="Times New Roman" w:hint="eastAsia"/>
          <w:b/>
          <w:color w:val="0C0C0C"/>
          <w:sz w:val="32"/>
          <w:szCs w:val="28"/>
          <w:shd w:val="clear" w:color="auto" w:fill="FFFFFF"/>
        </w:rPr>
        <w:t>水权收储工作中存在弄虚作假、滥用职权、徇私舞弊等违法违规行为的，依据有关法律法规等追究相关责任。</w:t>
      </w:r>
    </w:p>
    <w:p w14:paraId="57212487" w14:textId="77777777" w:rsidR="00253F95" w:rsidRDefault="00253F95">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666666"/>
          <w:sz w:val="32"/>
          <w:szCs w:val="28"/>
        </w:rPr>
      </w:pPr>
    </w:p>
    <w:p w14:paraId="05430431" w14:textId="77777777" w:rsidR="00253F95" w:rsidRDefault="00000000">
      <w:pPr>
        <w:pStyle w:val="2"/>
        <w:spacing w:beforeLines="0" w:before="0" w:afterLines="0" w:after="0" w:line="590" w:lineRule="exact"/>
        <w:jc w:val="center"/>
        <w:rPr>
          <w:rFonts w:ascii="Times New Roman" w:eastAsia="方正黑体_GBK" w:hAnsi="Times New Roman"/>
          <w:b/>
          <w:szCs w:val="22"/>
        </w:rPr>
      </w:pPr>
      <w:bookmarkStart w:id="4" w:name="_Toc14697"/>
      <w:r>
        <w:rPr>
          <w:rFonts w:ascii="Times New Roman" w:eastAsia="方正黑体_GBK" w:hAnsi="Times New Roman" w:hint="eastAsia"/>
          <w:b/>
          <w:szCs w:val="22"/>
        </w:rPr>
        <w:t>第五章</w:t>
      </w:r>
      <w:r>
        <w:rPr>
          <w:rFonts w:ascii="Times New Roman" w:eastAsia="方正黑体_GBK" w:hAnsi="Times New Roman"/>
          <w:b/>
          <w:szCs w:val="22"/>
        </w:rPr>
        <w:t xml:space="preserve">  </w:t>
      </w:r>
      <w:r>
        <w:rPr>
          <w:rFonts w:ascii="Times New Roman" w:eastAsia="方正黑体_GBK" w:hAnsi="Times New Roman" w:hint="eastAsia"/>
          <w:b/>
          <w:szCs w:val="22"/>
        </w:rPr>
        <w:t>附</w:t>
      </w:r>
      <w:r>
        <w:rPr>
          <w:rFonts w:ascii="Times New Roman" w:eastAsia="方正黑体_GBK" w:hAnsi="Times New Roman"/>
          <w:b/>
          <w:szCs w:val="22"/>
        </w:rPr>
        <w:t xml:space="preserve">  </w:t>
      </w:r>
      <w:r>
        <w:rPr>
          <w:rFonts w:ascii="Times New Roman" w:eastAsia="方正黑体_GBK" w:hAnsi="Times New Roman" w:hint="eastAsia"/>
          <w:b/>
          <w:szCs w:val="22"/>
        </w:rPr>
        <w:t>则</w:t>
      </w:r>
      <w:bookmarkEnd w:id="4"/>
    </w:p>
    <w:p w14:paraId="770486B1" w14:textId="77777777" w:rsidR="00253F95" w:rsidRDefault="00000000">
      <w:pPr>
        <w:pStyle w:val="ad"/>
        <w:widowControl/>
        <w:shd w:val="clear" w:color="auto" w:fill="FFFFFF"/>
        <w:spacing w:beforeAutospacing="0" w:afterAutospacing="0" w:line="590" w:lineRule="exact"/>
        <w:ind w:firstLineChars="200" w:firstLine="634"/>
        <w:jc w:val="both"/>
        <w:rPr>
          <w:rFonts w:ascii="Times New Roman" w:eastAsia="方正仿宋_GBK" w:hAnsi="Times New Roman"/>
          <w:b/>
          <w:color w:val="0C0C0C"/>
          <w:sz w:val="32"/>
          <w:szCs w:val="28"/>
          <w:shd w:val="clear" w:color="auto" w:fill="FFFFFF"/>
        </w:rPr>
      </w:pPr>
      <w:r>
        <w:rPr>
          <w:rFonts w:ascii="黑体" w:eastAsia="黑体" w:hAnsi="黑体" w:hint="eastAsia"/>
          <w:b/>
          <w:color w:val="0C0C0C"/>
          <w:sz w:val="32"/>
          <w:szCs w:val="28"/>
          <w:shd w:val="clear" w:color="auto" w:fill="FFFFFF"/>
        </w:rPr>
        <w:t>第二十四条【解释】</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本办法由江苏省人民政府水行政主管部门负责解释。</w:t>
      </w:r>
    </w:p>
    <w:p w14:paraId="1887D9E0" w14:textId="77777777" w:rsidR="00253F95" w:rsidRDefault="00000000">
      <w:pPr>
        <w:pStyle w:val="ad"/>
        <w:widowControl/>
        <w:shd w:val="clear" w:color="auto" w:fill="FFFFFF"/>
        <w:spacing w:beforeAutospacing="0" w:afterAutospacing="0"/>
        <w:ind w:firstLineChars="200" w:firstLine="634"/>
        <w:jc w:val="both"/>
        <w:rPr>
          <w:rFonts w:ascii="Times New Roman" w:hAnsi="Times New Roman"/>
          <w:b/>
        </w:rPr>
      </w:pPr>
      <w:r>
        <w:rPr>
          <w:rFonts w:ascii="黑体" w:eastAsia="黑体" w:hAnsi="黑体" w:hint="eastAsia"/>
          <w:b/>
          <w:color w:val="0C0C0C"/>
          <w:sz w:val="32"/>
          <w:szCs w:val="28"/>
          <w:shd w:val="clear" w:color="auto" w:fill="FFFFFF"/>
        </w:rPr>
        <w:t>第二十五条【实施时间】</w:t>
      </w:r>
      <w:r>
        <w:rPr>
          <w:rFonts w:ascii="Times New Roman" w:eastAsia="方正仿宋_GBK" w:hAnsi="Times New Roman"/>
          <w:b/>
          <w:color w:val="0C0C0C"/>
          <w:sz w:val="32"/>
          <w:szCs w:val="28"/>
          <w:shd w:val="clear" w:color="auto" w:fill="FFFFFF"/>
        </w:rPr>
        <w:t xml:space="preserve">  </w:t>
      </w:r>
      <w:r>
        <w:rPr>
          <w:rFonts w:ascii="Times New Roman" w:eastAsia="方正仿宋_GBK" w:hAnsi="Times New Roman" w:hint="eastAsia"/>
          <w:b/>
          <w:color w:val="0C0C0C"/>
          <w:sz w:val="32"/>
          <w:szCs w:val="28"/>
          <w:shd w:val="clear" w:color="auto" w:fill="FFFFFF"/>
        </w:rPr>
        <w:t>本办法自发布之日起实施，有效期至</w:t>
      </w:r>
      <w:r>
        <w:rPr>
          <w:rFonts w:ascii="Times New Roman" w:eastAsia="方正仿宋_GBK" w:hAnsi="Times New Roman"/>
          <w:b/>
          <w:color w:val="0C0C0C"/>
          <w:sz w:val="32"/>
          <w:szCs w:val="28"/>
          <w:shd w:val="clear" w:color="auto" w:fill="FFFFFF"/>
        </w:rPr>
        <w:t>202X</w:t>
      </w:r>
      <w:r>
        <w:rPr>
          <w:rFonts w:ascii="Times New Roman" w:eastAsia="方正仿宋_GBK" w:hAnsi="Times New Roman" w:hint="eastAsia"/>
          <w:b/>
          <w:color w:val="0C0C0C"/>
          <w:sz w:val="32"/>
          <w:szCs w:val="28"/>
          <w:shd w:val="clear" w:color="auto" w:fill="FFFFFF"/>
        </w:rPr>
        <w:t>年</w:t>
      </w:r>
      <w:r>
        <w:rPr>
          <w:rFonts w:ascii="Times New Roman" w:eastAsia="方正仿宋_GBK" w:hAnsi="Times New Roman"/>
          <w:b/>
          <w:color w:val="0C0C0C"/>
          <w:sz w:val="32"/>
          <w:szCs w:val="28"/>
          <w:shd w:val="clear" w:color="auto" w:fill="FFFFFF"/>
        </w:rPr>
        <w:t>XX</w:t>
      </w:r>
      <w:r>
        <w:rPr>
          <w:rFonts w:ascii="Times New Roman" w:eastAsia="方正仿宋_GBK" w:hAnsi="Times New Roman" w:hint="eastAsia"/>
          <w:b/>
          <w:color w:val="0C0C0C"/>
          <w:sz w:val="32"/>
          <w:szCs w:val="28"/>
          <w:shd w:val="clear" w:color="auto" w:fill="FFFFFF"/>
        </w:rPr>
        <w:t>月</w:t>
      </w:r>
      <w:r>
        <w:rPr>
          <w:rFonts w:ascii="Times New Roman" w:eastAsia="方正仿宋_GBK" w:hAnsi="Times New Roman"/>
          <w:b/>
          <w:color w:val="0C0C0C"/>
          <w:sz w:val="32"/>
          <w:szCs w:val="28"/>
          <w:shd w:val="clear" w:color="auto" w:fill="FFFFFF"/>
        </w:rPr>
        <w:t>XX</w:t>
      </w:r>
      <w:r>
        <w:rPr>
          <w:rFonts w:ascii="Times New Roman" w:eastAsia="方正仿宋_GBK" w:hAnsi="Times New Roman" w:hint="eastAsia"/>
          <w:b/>
          <w:color w:val="0C0C0C"/>
          <w:sz w:val="32"/>
          <w:szCs w:val="28"/>
          <w:shd w:val="clear" w:color="auto" w:fill="FFFFFF"/>
        </w:rPr>
        <w:t>日。</w:t>
      </w:r>
    </w:p>
    <w:sectPr w:rsidR="00253F95">
      <w:footerReference w:type="even" r:id="rId7"/>
      <w:footerReference w:type="default" r:id="rId8"/>
      <w:pgSz w:w="11906" w:h="16838"/>
      <w:pgMar w:top="2098" w:right="1531" w:bottom="1701" w:left="1531" w:header="851" w:footer="1587" w:gutter="0"/>
      <w:cols w:space="425"/>
      <w:docGrid w:type="linesAndChars" w:linePitch="592" w:charSpace="-8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0356CF" w14:textId="77777777" w:rsidR="00B52BB3" w:rsidRDefault="00B52BB3">
      <w:r>
        <w:separator/>
      </w:r>
    </w:p>
  </w:endnote>
  <w:endnote w:type="continuationSeparator" w:id="0">
    <w:p w14:paraId="2445CE20" w14:textId="77777777" w:rsidR="00B52BB3" w:rsidRDefault="00B52B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embedRegular r:id="rId1" w:subsetted="1" w:fontKey="{6697EFE9-0AFB-4057-B383-CD2A47ECB009}"/>
    <w:embedBold r:id="rId2" w:subsetted="1" w:fontKey="{514785E2-1BD0-4682-96EC-CCAF0F701A4F}"/>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Bold r:id="rId3" w:subsetted="1" w:fontKey="{C3323F04-8FC6-47FF-A050-FDF10A1AA87A}"/>
  </w:font>
  <w:font w:name="Calibri">
    <w:panose1 w:val="020F0502020204030204"/>
    <w:charset w:val="00"/>
    <w:family w:val="swiss"/>
    <w:pitch w:val="variable"/>
    <w:sig w:usb0="E4002EFF" w:usb1="C200247B" w:usb2="00000009" w:usb3="00000000" w:csb0="000001FF" w:csb1="00000000"/>
    <w:embedBold r:id="rId4" w:subsetted="1" w:fontKey="{4F6A4CAC-8AA1-4E77-8953-5E88ACF51C61}"/>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Microsoft YaHei UI">
    <w:panose1 w:val="020B0503020204020204"/>
    <w:charset w:val="86"/>
    <w:family w:val="swiss"/>
    <w:pitch w:val="variable"/>
    <w:sig w:usb0="80000287" w:usb1="2ACF3C50" w:usb2="00000016" w:usb3="00000000" w:csb0="0004001F" w:csb1="00000000"/>
  </w:font>
  <w:font w:name="方正小标宋_GBK">
    <w:panose1 w:val="03000509000000000000"/>
    <w:charset w:val="86"/>
    <w:family w:val="script"/>
    <w:pitch w:val="fixed"/>
    <w:sig w:usb0="00000001" w:usb1="080E0000" w:usb2="00000010" w:usb3="00000000" w:csb0="00040000" w:csb1="00000000"/>
    <w:embedBold r:id="rId5" w:subsetted="1" w:fontKey="{E3DF00D0-97EE-4B18-A8CC-5034ABD8E28D}"/>
  </w:font>
  <w:font w:name="方正黑体_GBK">
    <w:panose1 w:val="03000509000000000000"/>
    <w:charset w:val="86"/>
    <w:family w:val="script"/>
    <w:pitch w:val="fixed"/>
    <w:sig w:usb0="00000001" w:usb1="080E0000" w:usb2="00000010" w:usb3="00000000" w:csb0="00040000" w:csb1="00000000"/>
    <w:embedBold r:id="rId6" w:subsetted="1" w:fontKey="{4B468C93-F5B1-468A-90D7-0DA813F62B15}"/>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D5F41C" w14:textId="77777777" w:rsidR="00253F95" w:rsidRDefault="00000000">
    <w:pPr>
      <w:pStyle w:val="a9"/>
      <w:ind w:firstLineChars="100" w:firstLine="280"/>
      <w:rPr>
        <w:sz w:val="28"/>
      </w:rPr>
    </w:pPr>
    <w:r>
      <w:rPr>
        <w:rFonts w:hint="eastAsia"/>
        <w:sz w:val="28"/>
      </w:rPr>
      <w:t>—</w:t>
    </w:r>
    <w:r>
      <w:rPr>
        <w:sz w:val="28"/>
      </w:rPr>
      <w:t xml:space="preserve"> </w:t>
    </w:r>
    <w:r>
      <w:rPr>
        <w:sz w:val="28"/>
      </w:rPr>
      <w:fldChar w:fldCharType="begin"/>
    </w:r>
    <w:r>
      <w:rPr>
        <w:sz w:val="28"/>
      </w:rPr>
      <w:instrText xml:space="preserve"> PAGE \* Arabic \* MERGEFORMAT </w:instrText>
    </w:r>
    <w:r>
      <w:rPr>
        <w:sz w:val="28"/>
      </w:rPr>
      <w:fldChar w:fldCharType="separate"/>
    </w:r>
    <w:r>
      <w:rPr>
        <w:sz w:val="28"/>
      </w:rPr>
      <w:t>3</w:t>
    </w:r>
    <w:r>
      <w:rPr>
        <w:sz w:val="28"/>
      </w:rPr>
      <w:fldChar w:fldCharType="end"/>
    </w:r>
    <w:r>
      <w:rPr>
        <w:sz w:val="2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F2C90D" w14:textId="77777777" w:rsidR="00253F95" w:rsidRDefault="00000000">
    <w:pPr>
      <w:pStyle w:val="a9"/>
      <w:ind w:rightChars="100" w:right="320"/>
      <w:jc w:val="right"/>
      <w:rPr>
        <w:sz w:val="28"/>
      </w:rPr>
    </w:pPr>
    <w:r>
      <w:rPr>
        <w:rFonts w:hint="eastAsia"/>
        <w:sz w:val="28"/>
      </w:rPr>
      <w:t>—</w:t>
    </w:r>
    <w:r>
      <w:rPr>
        <w:sz w:val="28"/>
      </w:rPr>
      <w:t xml:space="preserve"> </w:t>
    </w:r>
    <w:r>
      <w:rPr>
        <w:sz w:val="28"/>
      </w:rPr>
      <w:fldChar w:fldCharType="begin"/>
    </w:r>
    <w:r>
      <w:rPr>
        <w:sz w:val="28"/>
      </w:rPr>
      <w:instrText xml:space="preserve"> PAGE \* Arabic \* MERGEFORMAT </w:instrText>
    </w:r>
    <w:r>
      <w:rPr>
        <w:sz w:val="28"/>
      </w:rPr>
      <w:fldChar w:fldCharType="separate"/>
    </w:r>
    <w:r>
      <w:rPr>
        <w:sz w:val="28"/>
      </w:rPr>
      <w:t>3</w:t>
    </w:r>
    <w:r>
      <w:rPr>
        <w:sz w:val="28"/>
      </w:rPr>
      <w:fldChar w:fldCharType="end"/>
    </w:r>
    <w:r>
      <w:rPr>
        <w:sz w:val="2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A04D60" w14:textId="77777777" w:rsidR="00B52BB3" w:rsidRDefault="00B52BB3">
      <w:r>
        <w:separator/>
      </w:r>
    </w:p>
  </w:footnote>
  <w:footnote w:type="continuationSeparator" w:id="0">
    <w:p w14:paraId="0B60198A" w14:textId="77777777" w:rsidR="00B52BB3" w:rsidRDefault="00B52BB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TrueTypeFonts/>
  <w:saveSubsetFonts/>
  <w:bordersDoNotSurroundHeader/>
  <w:bordersDoNotSurroundFooter/>
  <w:proofState w:spelling="clean" w:grammar="clean"/>
  <w:defaultTabStop w:val="420"/>
  <w:evenAndOddHeaders/>
  <w:drawingGridHorizontalSpacing w:val="158"/>
  <w:drawingGridVerticalSpacing w:val="29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WEzOTZkYzE3NDVkODI3OGNiM2JhM2IzMWY3MmMxMzAifQ=="/>
    <w:docVar w:name="metasota_documentID" w:val="8488810869012971520"/>
  </w:docVars>
  <w:rsids>
    <w:rsidRoot w:val="00AB04C3"/>
    <w:rsid w:val="000D379F"/>
    <w:rsid w:val="001548DC"/>
    <w:rsid w:val="00174636"/>
    <w:rsid w:val="001D5A96"/>
    <w:rsid w:val="001F17E8"/>
    <w:rsid w:val="002267DB"/>
    <w:rsid w:val="0024391C"/>
    <w:rsid w:val="002476EC"/>
    <w:rsid w:val="00253F95"/>
    <w:rsid w:val="002F4266"/>
    <w:rsid w:val="003606F9"/>
    <w:rsid w:val="003A6274"/>
    <w:rsid w:val="0044796B"/>
    <w:rsid w:val="004C328D"/>
    <w:rsid w:val="004E30E6"/>
    <w:rsid w:val="004F7FB5"/>
    <w:rsid w:val="00530F50"/>
    <w:rsid w:val="005C2C97"/>
    <w:rsid w:val="005D62DB"/>
    <w:rsid w:val="006124CC"/>
    <w:rsid w:val="00631061"/>
    <w:rsid w:val="006C1B8C"/>
    <w:rsid w:val="006F3C12"/>
    <w:rsid w:val="00725A57"/>
    <w:rsid w:val="00792056"/>
    <w:rsid w:val="007D3607"/>
    <w:rsid w:val="00817941"/>
    <w:rsid w:val="00825A4E"/>
    <w:rsid w:val="008536C2"/>
    <w:rsid w:val="008727D0"/>
    <w:rsid w:val="00887979"/>
    <w:rsid w:val="008A5C3B"/>
    <w:rsid w:val="008A6BBD"/>
    <w:rsid w:val="008F2564"/>
    <w:rsid w:val="00902D84"/>
    <w:rsid w:val="00934E92"/>
    <w:rsid w:val="009D5050"/>
    <w:rsid w:val="00A2696F"/>
    <w:rsid w:val="00A9700D"/>
    <w:rsid w:val="00AB04C3"/>
    <w:rsid w:val="00AC5C84"/>
    <w:rsid w:val="00B52BB3"/>
    <w:rsid w:val="00B633A7"/>
    <w:rsid w:val="00B81732"/>
    <w:rsid w:val="00B84C9F"/>
    <w:rsid w:val="00B9536F"/>
    <w:rsid w:val="00BC37FC"/>
    <w:rsid w:val="00BD7773"/>
    <w:rsid w:val="00BE2BC5"/>
    <w:rsid w:val="00C70AB1"/>
    <w:rsid w:val="00C837CA"/>
    <w:rsid w:val="00CF5D7D"/>
    <w:rsid w:val="00D07D95"/>
    <w:rsid w:val="00D24226"/>
    <w:rsid w:val="00D24F7B"/>
    <w:rsid w:val="00E90358"/>
    <w:rsid w:val="00EE6F22"/>
    <w:rsid w:val="00F16F74"/>
    <w:rsid w:val="00F51B87"/>
    <w:rsid w:val="00FC7F94"/>
    <w:rsid w:val="01CC5EE4"/>
    <w:rsid w:val="01FB2D91"/>
    <w:rsid w:val="021D04ED"/>
    <w:rsid w:val="033A18D9"/>
    <w:rsid w:val="03C658CD"/>
    <w:rsid w:val="04736EAB"/>
    <w:rsid w:val="051D1EEA"/>
    <w:rsid w:val="055E32F7"/>
    <w:rsid w:val="06431E80"/>
    <w:rsid w:val="06986C99"/>
    <w:rsid w:val="07603077"/>
    <w:rsid w:val="086A1FB2"/>
    <w:rsid w:val="08D93B6D"/>
    <w:rsid w:val="09A90F5E"/>
    <w:rsid w:val="09CF031F"/>
    <w:rsid w:val="0A456833"/>
    <w:rsid w:val="0A5151D8"/>
    <w:rsid w:val="0B6B3B52"/>
    <w:rsid w:val="0BA378F5"/>
    <w:rsid w:val="0CA858A8"/>
    <w:rsid w:val="0E52151F"/>
    <w:rsid w:val="0FA67D74"/>
    <w:rsid w:val="0FC4644C"/>
    <w:rsid w:val="107D57AF"/>
    <w:rsid w:val="113C4D29"/>
    <w:rsid w:val="121B77C5"/>
    <w:rsid w:val="13425F81"/>
    <w:rsid w:val="13867123"/>
    <w:rsid w:val="13893C35"/>
    <w:rsid w:val="140044FF"/>
    <w:rsid w:val="14AB1989"/>
    <w:rsid w:val="14E530ED"/>
    <w:rsid w:val="15056A72"/>
    <w:rsid w:val="15651759"/>
    <w:rsid w:val="174A388E"/>
    <w:rsid w:val="18935DFD"/>
    <w:rsid w:val="18AC5CCF"/>
    <w:rsid w:val="18E6774A"/>
    <w:rsid w:val="19301661"/>
    <w:rsid w:val="19965032"/>
    <w:rsid w:val="1A2E4BEE"/>
    <w:rsid w:val="1A750A6F"/>
    <w:rsid w:val="1AE17EB2"/>
    <w:rsid w:val="1CE60FE4"/>
    <w:rsid w:val="1D36146E"/>
    <w:rsid w:val="1D617214"/>
    <w:rsid w:val="1D840649"/>
    <w:rsid w:val="1EC725F7"/>
    <w:rsid w:val="1EDD6FD1"/>
    <w:rsid w:val="1F6B2440"/>
    <w:rsid w:val="1F6C1BC4"/>
    <w:rsid w:val="1F8B2AE2"/>
    <w:rsid w:val="1F902377"/>
    <w:rsid w:val="1FCB2EDF"/>
    <w:rsid w:val="20842211"/>
    <w:rsid w:val="20A51982"/>
    <w:rsid w:val="21036439"/>
    <w:rsid w:val="21443008"/>
    <w:rsid w:val="21C45D42"/>
    <w:rsid w:val="21C80BE9"/>
    <w:rsid w:val="2234120F"/>
    <w:rsid w:val="227930C6"/>
    <w:rsid w:val="22F4274D"/>
    <w:rsid w:val="232367C5"/>
    <w:rsid w:val="236652D6"/>
    <w:rsid w:val="238D49B3"/>
    <w:rsid w:val="23D647A0"/>
    <w:rsid w:val="23E53AA3"/>
    <w:rsid w:val="24000D47"/>
    <w:rsid w:val="241430A6"/>
    <w:rsid w:val="24310293"/>
    <w:rsid w:val="24982CAF"/>
    <w:rsid w:val="250273A3"/>
    <w:rsid w:val="255870C9"/>
    <w:rsid w:val="26C2328E"/>
    <w:rsid w:val="26E74AA2"/>
    <w:rsid w:val="278247CB"/>
    <w:rsid w:val="28943734"/>
    <w:rsid w:val="2AEA3D6D"/>
    <w:rsid w:val="2BD55811"/>
    <w:rsid w:val="2C04518F"/>
    <w:rsid w:val="2C1B5AA1"/>
    <w:rsid w:val="2CC82C80"/>
    <w:rsid w:val="2D9F403B"/>
    <w:rsid w:val="2E971F76"/>
    <w:rsid w:val="2F5C4731"/>
    <w:rsid w:val="2FDF71FA"/>
    <w:rsid w:val="301F1C9F"/>
    <w:rsid w:val="31D125D7"/>
    <w:rsid w:val="32341F24"/>
    <w:rsid w:val="32AC2D2D"/>
    <w:rsid w:val="32E24F3D"/>
    <w:rsid w:val="32EC3456"/>
    <w:rsid w:val="3326522A"/>
    <w:rsid w:val="33327A0A"/>
    <w:rsid w:val="33AF4B9A"/>
    <w:rsid w:val="33CF2DB1"/>
    <w:rsid w:val="33D83B32"/>
    <w:rsid w:val="345D4471"/>
    <w:rsid w:val="350D524A"/>
    <w:rsid w:val="35D00DF7"/>
    <w:rsid w:val="36637EBD"/>
    <w:rsid w:val="374E0226"/>
    <w:rsid w:val="384A4E91"/>
    <w:rsid w:val="3A1E0383"/>
    <w:rsid w:val="3A773F37"/>
    <w:rsid w:val="3A8711B5"/>
    <w:rsid w:val="3B3E6803"/>
    <w:rsid w:val="3C177E42"/>
    <w:rsid w:val="3D8D1BD5"/>
    <w:rsid w:val="3E1C5138"/>
    <w:rsid w:val="3E6C20C0"/>
    <w:rsid w:val="3E854E75"/>
    <w:rsid w:val="3EBD0E28"/>
    <w:rsid w:val="3F32042D"/>
    <w:rsid w:val="401C5365"/>
    <w:rsid w:val="40BE01CA"/>
    <w:rsid w:val="40D37E75"/>
    <w:rsid w:val="41452699"/>
    <w:rsid w:val="43014CE6"/>
    <w:rsid w:val="439654F0"/>
    <w:rsid w:val="44896D41"/>
    <w:rsid w:val="44D21B98"/>
    <w:rsid w:val="44FA19ED"/>
    <w:rsid w:val="450A0AA9"/>
    <w:rsid w:val="453018B3"/>
    <w:rsid w:val="453F418E"/>
    <w:rsid w:val="46C329DE"/>
    <w:rsid w:val="4723522B"/>
    <w:rsid w:val="482F3F10"/>
    <w:rsid w:val="48F22823"/>
    <w:rsid w:val="48F90A8D"/>
    <w:rsid w:val="492C457B"/>
    <w:rsid w:val="4A201EF6"/>
    <w:rsid w:val="4D4001B9"/>
    <w:rsid w:val="4D4619F6"/>
    <w:rsid w:val="4E0E1535"/>
    <w:rsid w:val="4EC87D68"/>
    <w:rsid w:val="4F587104"/>
    <w:rsid w:val="4F644633"/>
    <w:rsid w:val="4FDC00EC"/>
    <w:rsid w:val="4FDE760D"/>
    <w:rsid w:val="4FE8038E"/>
    <w:rsid w:val="500B08C1"/>
    <w:rsid w:val="50A47DE8"/>
    <w:rsid w:val="50DD53C7"/>
    <w:rsid w:val="512B12F3"/>
    <w:rsid w:val="51402E7D"/>
    <w:rsid w:val="51915487"/>
    <w:rsid w:val="51BA160D"/>
    <w:rsid w:val="51CB6B89"/>
    <w:rsid w:val="51D02DBD"/>
    <w:rsid w:val="523227C6"/>
    <w:rsid w:val="53C454D7"/>
    <w:rsid w:val="540B1521"/>
    <w:rsid w:val="54161C73"/>
    <w:rsid w:val="54244390"/>
    <w:rsid w:val="542B3A8D"/>
    <w:rsid w:val="54AC528B"/>
    <w:rsid w:val="54CC67B6"/>
    <w:rsid w:val="5621502B"/>
    <w:rsid w:val="564B654C"/>
    <w:rsid w:val="56815ACA"/>
    <w:rsid w:val="56D22213"/>
    <w:rsid w:val="575A0477"/>
    <w:rsid w:val="578F40F6"/>
    <w:rsid w:val="57AC4DC9"/>
    <w:rsid w:val="58136BF6"/>
    <w:rsid w:val="583C1E47"/>
    <w:rsid w:val="58C125FD"/>
    <w:rsid w:val="5943350B"/>
    <w:rsid w:val="5A9166AC"/>
    <w:rsid w:val="5ABD001D"/>
    <w:rsid w:val="5C7E5EE4"/>
    <w:rsid w:val="5CF039A9"/>
    <w:rsid w:val="5D465377"/>
    <w:rsid w:val="5DAA7FFC"/>
    <w:rsid w:val="5DB449D7"/>
    <w:rsid w:val="5DD027D6"/>
    <w:rsid w:val="5ED60ECD"/>
    <w:rsid w:val="5EDA40DB"/>
    <w:rsid w:val="5F616DDA"/>
    <w:rsid w:val="5F6E5059"/>
    <w:rsid w:val="5F856D3F"/>
    <w:rsid w:val="5FE91CBA"/>
    <w:rsid w:val="61405C10"/>
    <w:rsid w:val="6155202D"/>
    <w:rsid w:val="61625A1B"/>
    <w:rsid w:val="62CC7485"/>
    <w:rsid w:val="6370314E"/>
    <w:rsid w:val="637A3FCD"/>
    <w:rsid w:val="63936E3D"/>
    <w:rsid w:val="64132F29"/>
    <w:rsid w:val="6454481E"/>
    <w:rsid w:val="654E045D"/>
    <w:rsid w:val="654E7847"/>
    <w:rsid w:val="655D5954"/>
    <w:rsid w:val="656206A5"/>
    <w:rsid w:val="662053A4"/>
    <w:rsid w:val="66472B4E"/>
    <w:rsid w:val="6659611C"/>
    <w:rsid w:val="66F607A6"/>
    <w:rsid w:val="673B1C34"/>
    <w:rsid w:val="680B10C1"/>
    <w:rsid w:val="684A53BF"/>
    <w:rsid w:val="68725BBA"/>
    <w:rsid w:val="68D32A00"/>
    <w:rsid w:val="6A4C5C9E"/>
    <w:rsid w:val="6B282560"/>
    <w:rsid w:val="6B2D7C85"/>
    <w:rsid w:val="6D036B6C"/>
    <w:rsid w:val="6D9577D6"/>
    <w:rsid w:val="6DEB1959"/>
    <w:rsid w:val="6EA61068"/>
    <w:rsid w:val="6F23376B"/>
    <w:rsid w:val="6F63310F"/>
    <w:rsid w:val="70613C89"/>
    <w:rsid w:val="70795447"/>
    <w:rsid w:val="710B095A"/>
    <w:rsid w:val="71665B90"/>
    <w:rsid w:val="725B321B"/>
    <w:rsid w:val="725D3437"/>
    <w:rsid w:val="72914E8F"/>
    <w:rsid w:val="73155B3C"/>
    <w:rsid w:val="74D627CC"/>
    <w:rsid w:val="74E53270"/>
    <w:rsid w:val="75196C85"/>
    <w:rsid w:val="75C510E6"/>
    <w:rsid w:val="7731706A"/>
    <w:rsid w:val="77F05C5A"/>
    <w:rsid w:val="77F2017E"/>
    <w:rsid w:val="783830D5"/>
    <w:rsid w:val="78523332"/>
    <w:rsid w:val="78811502"/>
    <w:rsid w:val="78C31FEA"/>
    <w:rsid w:val="78E92B21"/>
    <w:rsid w:val="78EB2633"/>
    <w:rsid w:val="79F301DD"/>
    <w:rsid w:val="7A2C6954"/>
    <w:rsid w:val="7ABA422C"/>
    <w:rsid w:val="7BE129E3"/>
    <w:rsid w:val="7D0947B9"/>
    <w:rsid w:val="7E730A8F"/>
    <w:rsid w:val="7F572FBC"/>
    <w:rsid w:val="7FDF5054"/>
    <w:rsid w:val="7FF076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57D54"/>
  <w15:docId w15:val="{8F8C8658-82D7-45B1-A69E-5936A7A94C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方正仿宋_GBK" w:hAnsi="Times New Roman" w:cs="Times New Roman"/>
      <w:kern w:val="2"/>
      <w:sz w:val="32"/>
      <w:szCs w:val="22"/>
      <w14:ligatures w14:val="standardContextual"/>
    </w:rPr>
  </w:style>
  <w:style w:type="paragraph" w:styleId="2">
    <w:name w:val="heading 2"/>
    <w:basedOn w:val="a"/>
    <w:next w:val="a"/>
    <w:link w:val="20"/>
    <w:qFormat/>
    <w:pPr>
      <w:keepNext/>
      <w:keepLines/>
      <w:spacing w:beforeLines="50" w:before="50" w:afterLines="50" w:after="50" w:line="360" w:lineRule="auto"/>
      <w:outlineLvl w:val="1"/>
    </w:pPr>
    <w:rPr>
      <w:rFonts w:ascii="Arial" w:eastAsia="黑体" w:hAnsi="Arial"/>
      <w:szCs w:val="24"/>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qFormat/>
    <w:rPr>
      <w:rFonts w:ascii="Calibri" w:eastAsia="宋体" w:hAnsi="Calibri"/>
      <w:sz w:val="21"/>
      <w:szCs w:val="24"/>
      <w:lang w:val="zh-CN"/>
      <w14:ligatures w14:val="none"/>
    </w:rPr>
  </w:style>
  <w:style w:type="paragraph" w:styleId="a5">
    <w:name w:val="annotation text"/>
    <w:basedOn w:val="a"/>
    <w:link w:val="a6"/>
    <w:uiPriority w:val="99"/>
    <w:unhideWhenUsed/>
    <w:qFormat/>
    <w:pPr>
      <w:jc w:val="left"/>
    </w:pPr>
  </w:style>
  <w:style w:type="paragraph" w:styleId="a7">
    <w:name w:val="Body Text"/>
    <w:basedOn w:val="a"/>
    <w:link w:val="a8"/>
    <w:qFormat/>
    <w:pPr>
      <w:spacing w:line="360" w:lineRule="auto"/>
      <w:ind w:firstLineChars="200" w:firstLine="420"/>
    </w:pPr>
    <w:rPr>
      <w:rFonts w:ascii="仿宋_GB2312" w:eastAsia="仿宋_GB2312" w:hAnsi="仿宋_GB2312"/>
      <w:szCs w:val="24"/>
      <w14:ligatures w14:val="none"/>
    </w:rPr>
  </w:style>
  <w:style w:type="paragraph" w:styleId="a9">
    <w:name w:val="footer"/>
    <w:basedOn w:val="a"/>
    <w:link w:val="aa"/>
    <w:uiPriority w:val="99"/>
    <w:unhideWhenUsed/>
    <w:qFormat/>
    <w:pPr>
      <w:tabs>
        <w:tab w:val="center" w:pos="4153"/>
        <w:tab w:val="right" w:pos="8306"/>
      </w:tabs>
      <w:snapToGrid w:val="0"/>
      <w:jc w:val="left"/>
    </w:pPr>
    <w:rPr>
      <w:sz w:val="18"/>
      <w:szCs w:val="18"/>
    </w:rPr>
  </w:style>
  <w:style w:type="paragraph" w:styleId="ab">
    <w:name w:val="header"/>
    <w:basedOn w:val="a"/>
    <w:link w:val="ac"/>
    <w:uiPriority w:val="99"/>
    <w:unhideWhenUsed/>
    <w:qFormat/>
    <w:pPr>
      <w:tabs>
        <w:tab w:val="center" w:pos="4153"/>
        <w:tab w:val="right" w:pos="8306"/>
      </w:tabs>
      <w:snapToGrid w:val="0"/>
      <w:jc w:val="center"/>
    </w:pPr>
    <w:rPr>
      <w:sz w:val="18"/>
      <w:szCs w:val="18"/>
    </w:rPr>
  </w:style>
  <w:style w:type="paragraph" w:styleId="ad">
    <w:name w:val="Normal (Web)"/>
    <w:basedOn w:val="a"/>
    <w:qFormat/>
    <w:pPr>
      <w:spacing w:beforeAutospacing="1" w:afterAutospacing="1"/>
      <w:jc w:val="left"/>
    </w:pPr>
    <w:rPr>
      <w:rFonts w:ascii="Calibri" w:eastAsia="宋体" w:hAnsi="Calibri"/>
      <w:kern w:val="0"/>
      <w:sz w:val="24"/>
      <w:szCs w:val="24"/>
      <w14:ligatures w14:val="none"/>
    </w:rPr>
  </w:style>
  <w:style w:type="paragraph" w:styleId="ae">
    <w:name w:val="annotation subject"/>
    <w:basedOn w:val="a5"/>
    <w:next w:val="a5"/>
    <w:link w:val="af"/>
    <w:uiPriority w:val="99"/>
    <w:semiHidden/>
    <w:unhideWhenUsed/>
    <w:qFormat/>
    <w:rPr>
      <w:b/>
      <w:bCs/>
    </w:rPr>
  </w:style>
  <w:style w:type="character" w:styleId="af0">
    <w:name w:val="Strong"/>
    <w:basedOn w:val="a0"/>
    <w:qFormat/>
    <w:rPr>
      <w:b/>
    </w:rPr>
  </w:style>
  <w:style w:type="character" w:styleId="af1">
    <w:name w:val="annotation reference"/>
    <w:basedOn w:val="a0"/>
    <w:autoRedefine/>
    <w:uiPriority w:val="99"/>
    <w:semiHidden/>
    <w:unhideWhenUsed/>
    <w:qFormat/>
    <w:rPr>
      <w:sz w:val="21"/>
      <w:szCs w:val="21"/>
    </w:rPr>
  </w:style>
  <w:style w:type="paragraph" w:styleId="af2">
    <w:name w:val="List Paragraph"/>
    <w:basedOn w:val="a"/>
    <w:uiPriority w:val="34"/>
    <w:qFormat/>
    <w:pPr>
      <w:ind w:firstLineChars="200" w:firstLine="420"/>
    </w:pPr>
  </w:style>
  <w:style w:type="character" w:customStyle="1" w:styleId="ac">
    <w:name w:val="页眉 字符"/>
    <w:basedOn w:val="a0"/>
    <w:link w:val="ab"/>
    <w:autoRedefine/>
    <w:uiPriority w:val="99"/>
    <w:qFormat/>
    <w:rPr>
      <w:rFonts w:ascii="Times New Roman" w:eastAsia="方正仿宋_GBK" w:hAnsi="Times New Roman" w:cs="Times New Roman"/>
      <w:sz w:val="18"/>
      <w:szCs w:val="18"/>
    </w:rPr>
  </w:style>
  <w:style w:type="character" w:customStyle="1" w:styleId="aa">
    <w:name w:val="页脚 字符"/>
    <w:basedOn w:val="a0"/>
    <w:link w:val="a9"/>
    <w:uiPriority w:val="99"/>
    <w:qFormat/>
    <w:rPr>
      <w:rFonts w:ascii="Times New Roman" w:eastAsia="方正仿宋_GBK" w:hAnsi="Times New Roman" w:cs="Times New Roman"/>
      <w:sz w:val="18"/>
      <w:szCs w:val="18"/>
    </w:rPr>
  </w:style>
  <w:style w:type="character" w:customStyle="1" w:styleId="20">
    <w:name w:val="标题 2 字符"/>
    <w:basedOn w:val="a0"/>
    <w:link w:val="2"/>
    <w:qFormat/>
    <w:rPr>
      <w:rFonts w:ascii="Arial" w:eastAsia="黑体" w:hAnsi="Arial" w:cs="Times New Roman"/>
      <w:sz w:val="32"/>
      <w:szCs w:val="24"/>
      <w14:ligatures w14:val="none"/>
    </w:rPr>
  </w:style>
  <w:style w:type="character" w:customStyle="1" w:styleId="a4">
    <w:name w:val="文档结构图 字符"/>
    <w:basedOn w:val="a0"/>
    <w:link w:val="a3"/>
    <w:uiPriority w:val="99"/>
    <w:qFormat/>
    <w:rPr>
      <w:rFonts w:ascii="Calibri" w:eastAsia="宋体" w:hAnsi="Calibri" w:cs="Times New Roman"/>
      <w:szCs w:val="24"/>
      <w:lang w:val="zh-CN"/>
      <w14:ligatures w14:val="none"/>
    </w:rPr>
  </w:style>
  <w:style w:type="character" w:customStyle="1" w:styleId="a8">
    <w:name w:val="正文文本 字符"/>
    <w:basedOn w:val="a0"/>
    <w:link w:val="a7"/>
    <w:qFormat/>
    <w:rPr>
      <w:rFonts w:ascii="仿宋_GB2312" w:eastAsia="仿宋_GB2312" w:hAnsi="仿宋_GB2312" w:cs="Times New Roman"/>
      <w:sz w:val="32"/>
      <w:szCs w:val="24"/>
      <w14:ligatures w14:val="none"/>
    </w:rPr>
  </w:style>
  <w:style w:type="paragraph" w:customStyle="1" w:styleId="1">
    <w:name w:val="修订1"/>
    <w:autoRedefine/>
    <w:hidden/>
    <w:uiPriority w:val="99"/>
    <w:unhideWhenUsed/>
    <w:qFormat/>
    <w:rPr>
      <w:rFonts w:ascii="Times New Roman" w:eastAsia="方正仿宋_GBK" w:hAnsi="Times New Roman" w:cs="Times New Roman"/>
      <w:kern w:val="2"/>
      <w:sz w:val="32"/>
      <w:szCs w:val="22"/>
      <w14:ligatures w14:val="standardContextual"/>
    </w:rPr>
  </w:style>
  <w:style w:type="character" w:customStyle="1" w:styleId="cf01">
    <w:name w:val="cf01"/>
    <w:basedOn w:val="a0"/>
    <w:autoRedefine/>
    <w:qFormat/>
    <w:rPr>
      <w:rFonts w:ascii="Microsoft YaHei UI" w:eastAsia="Microsoft YaHei UI" w:hAnsi="Microsoft YaHei UI" w:hint="eastAsia"/>
      <w:color w:val="0C0C0C"/>
      <w:sz w:val="18"/>
      <w:szCs w:val="18"/>
    </w:rPr>
  </w:style>
  <w:style w:type="character" w:customStyle="1" w:styleId="a6">
    <w:name w:val="批注文字 字符"/>
    <w:basedOn w:val="a0"/>
    <w:link w:val="a5"/>
    <w:autoRedefine/>
    <w:uiPriority w:val="99"/>
    <w:qFormat/>
    <w:rPr>
      <w:rFonts w:ascii="Times New Roman" w:eastAsia="方正仿宋_GBK" w:hAnsi="Times New Roman" w:cs="Times New Roman"/>
      <w:kern w:val="2"/>
      <w:sz w:val="32"/>
      <w:szCs w:val="22"/>
      <w14:ligatures w14:val="standardContextual"/>
    </w:rPr>
  </w:style>
  <w:style w:type="character" w:customStyle="1" w:styleId="af">
    <w:name w:val="批注主题 字符"/>
    <w:basedOn w:val="a6"/>
    <w:link w:val="ae"/>
    <w:uiPriority w:val="99"/>
    <w:semiHidden/>
    <w:qFormat/>
    <w:rPr>
      <w:rFonts w:ascii="Times New Roman" w:eastAsia="方正仿宋_GBK" w:hAnsi="Times New Roman" w:cs="Times New Roman"/>
      <w:b/>
      <w:bCs/>
      <w:kern w:val="2"/>
      <w:sz w:val="32"/>
      <w:szCs w:val="22"/>
      <w14:ligatures w14:val="standardContextual"/>
    </w:rPr>
  </w:style>
  <w:style w:type="paragraph" w:customStyle="1" w:styleId="21">
    <w:name w:val="修订2"/>
    <w:hidden/>
    <w:uiPriority w:val="99"/>
    <w:unhideWhenUsed/>
    <w:qFormat/>
    <w:rPr>
      <w:rFonts w:ascii="Times New Roman" w:eastAsia="方正仿宋_GBK" w:hAnsi="Times New Roman" w:cs="Times New Roman"/>
      <w:kern w:val="2"/>
      <w:sz w:val="32"/>
      <w:szCs w:val="22"/>
      <w14:ligatures w14:val="standardContextual"/>
    </w:rPr>
  </w:style>
  <w:style w:type="paragraph" w:customStyle="1" w:styleId="3">
    <w:name w:val="修订3"/>
    <w:hidden/>
    <w:uiPriority w:val="99"/>
    <w:unhideWhenUsed/>
    <w:qFormat/>
    <w:rPr>
      <w:rFonts w:ascii="Times New Roman" w:eastAsia="方正仿宋_GBK" w:hAnsi="Times New Roman" w:cs="Times New Roman"/>
      <w:kern w:val="2"/>
      <w:sz w:val="32"/>
      <w:szCs w:val="22"/>
      <w14:ligatures w14:val="standardContextual"/>
    </w:rPr>
  </w:style>
  <w:style w:type="paragraph" w:styleId="af3">
    <w:name w:val="Revision"/>
    <w:hidden/>
    <w:uiPriority w:val="99"/>
    <w:unhideWhenUsed/>
    <w:rsid w:val="00B633A7"/>
    <w:rPr>
      <w:rFonts w:ascii="Times New Roman" w:eastAsia="方正仿宋_GBK" w:hAnsi="Times New Roman" w:cs="Times New Roman"/>
      <w:kern w:val="2"/>
      <w:sz w:val="3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026E56-749E-49E6-8A08-4392A690B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6</Pages>
  <Words>403</Words>
  <Characters>2299</Characters>
  <Application>Microsoft Office Word</Application>
  <DocSecurity>0</DocSecurity>
  <Lines>19</Lines>
  <Paragraphs>5</Paragraphs>
  <ScaleCrop>false</ScaleCrop>
  <Company/>
  <LinksUpToDate>false</LinksUpToDate>
  <CharactersWithSpaces>2697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铸 周</dc:creator>
  <cp:lastModifiedBy>铸 周</cp:lastModifiedBy>
  <cp:revision>21</cp:revision>
  <cp:lastPrinted>2023-08-21T09:42:00Z</cp:lastPrinted>
  <dcterms:created xsi:type="dcterms:W3CDTF">2023-07-19T06:53:00Z</dcterms:created>
  <dcterms:modified xsi:type="dcterms:W3CDTF">2024-06-13T08:44:00Z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A2CC2B4DDFE14261AB78CB76C26725F2_13</vt:lpwstr>
  </property>
</Properties>
</file>