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napToGrid w:val="0"/>
        <w:spacing w:line="400" w:lineRule="exact"/>
        <w:jc w:val="right"/>
        <w:rPr>
          <w:rFonts w:eastAsia="仿宋_GB2312"/>
          <w:snapToGrid w:val="0"/>
          <w:kern w:val="0"/>
          <w:sz w:val="32"/>
          <w:szCs w:val="32"/>
        </w:rPr>
      </w:pPr>
    </w:p>
    <w:p>
      <w:pPr>
        <w:autoSpaceDE w:val="0"/>
        <w:autoSpaceDN w:val="0"/>
        <w:snapToGrid w:val="0"/>
        <w:spacing w:line="400" w:lineRule="exact"/>
        <w:jc w:val="right"/>
        <w:rPr>
          <w:rFonts w:eastAsia="仿宋_GB2312"/>
          <w:snapToGrid w:val="0"/>
          <w:kern w:val="0"/>
          <w:sz w:val="32"/>
          <w:szCs w:val="32"/>
        </w:rPr>
      </w:pPr>
    </w:p>
    <w:p>
      <w:pPr>
        <w:widowControl/>
        <w:spacing w:line="580" w:lineRule="exact"/>
        <w:jc w:val="left"/>
        <w:rPr>
          <w:rFonts w:eastAsia="方正仿宋_GBK"/>
          <w:bCs/>
          <w:sz w:val="32"/>
          <w:szCs w:val="32"/>
        </w:rPr>
      </w:pPr>
      <w:r>
        <w:rPr>
          <w:rFonts w:eastAsia="方正仿宋_GBK"/>
          <w:bCs/>
          <w:sz w:val="32"/>
          <w:szCs w:val="32"/>
        </w:rPr>
        <w:br w:type="page"/>
      </w:r>
    </w:p>
    <w:p>
      <w:pPr>
        <w:widowControl/>
        <w:jc w:val="left"/>
        <w:rPr>
          <w:rFonts w:eastAsia="方正黑体_GBK"/>
          <w:w w:val="94"/>
          <w:kern w:val="0"/>
          <w:sz w:val="32"/>
          <w:szCs w:val="32"/>
        </w:rPr>
      </w:pPr>
      <w:bookmarkStart w:id="0" w:name="OLE_LINK39"/>
      <w:bookmarkStart w:id="1" w:name="OLE_LINK40"/>
      <w:r>
        <w:rPr>
          <w:rFonts w:hint="eastAsia" w:eastAsia="方正黑体_GBK"/>
          <w:w w:val="94"/>
          <w:kern w:val="0"/>
          <w:sz w:val="32"/>
          <w:szCs w:val="32"/>
        </w:rPr>
        <w:t>附件1</w:t>
      </w:r>
    </w:p>
    <w:p>
      <w:pPr>
        <w:widowControl/>
        <w:spacing w:line="400" w:lineRule="exact"/>
        <w:jc w:val="center"/>
        <w:rPr>
          <w:rFonts w:ascii="Calibri" w:hAnsi="Calibri"/>
          <w:sz w:val="42"/>
          <w:szCs w:val="22"/>
        </w:rPr>
      </w:pPr>
    </w:p>
    <w:p>
      <w:pPr>
        <w:spacing w:line="700" w:lineRule="exact"/>
        <w:jc w:val="center"/>
        <w:rPr>
          <w:rFonts w:eastAsia="方正小标宋_GBK"/>
          <w:sz w:val="44"/>
          <w:szCs w:val="44"/>
        </w:rPr>
      </w:pPr>
      <w:bookmarkStart w:id="2" w:name="OLE_LINK4"/>
      <w:r>
        <w:rPr>
          <w:rFonts w:hint="eastAsia" w:eastAsia="方正小标宋_GBK"/>
          <w:sz w:val="44"/>
          <w:szCs w:val="44"/>
        </w:rPr>
        <w:t>江苏省畜牧业、水产养殖业、林业</w:t>
      </w:r>
    </w:p>
    <w:p>
      <w:pPr>
        <w:spacing w:line="700" w:lineRule="exact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取用地下水限额表</w:t>
      </w:r>
      <w:bookmarkEnd w:id="2"/>
    </w:p>
    <w:bookmarkEnd w:id="0"/>
    <w:bookmarkEnd w:id="1"/>
    <w:p>
      <w:pPr>
        <w:spacing w:line="640" w:lineRule="exact"/>
        <w:jc w:val="center"/>
        <w:rPr>
          <w:rFonts w:ascii="方正楷体_GBK" w:hAnsi="方正楷体_GBK" w:eastAsia="方正楷体_GBK" w:cs="方正楷体_GBK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</w:t>
      </w:r>
      <w:bookmarkStart w:id="3" w:name="OLE_LINK7"/>
      <w:r>
        <w:rPr>
          <w:rFonts w:hint="eastAsia" w:ascii="方正楷体_GBK" w:hAnsi="方正楷体_GBK" w:eastAsia="方正楷体_GBK" w:cs="方正楷体_GBK"/>
          <w:sz w:val="32"/>
          <w:szCs w:val="32"/>
        </w:rPr>
        <w:t>征求意见稿</w:t>
      </w:r>
      <w:bookmarkEnd w:id="3"/>
      <w:r>
        <w:rPr>
          <w:rFonts w:hint="eastAsia" w:ascii="方正楷体_GBK" w:hAnsi="方正楷体_GBK" w:eastAsia="方正楷体_GBK" w:cs="方正楷体_GBK"/>
          <w:sz w:val="32"/>
          <w:szCs w:val="32"/>
        </w:rPr>
        <w:t>）</w:t>
      </w:r>
    </w:p>
    <w:p>
      <w:pPr>
        <w:spacing w:line="640" w:lineRule="exact"/>
        <w:jc w:val="right"/>
        <w:rPr>
          <w:rFonts w:eastAsia="方正仿宋_GBK"/>
          <w:sz w:val="28"/>
          <w:szCs w:val="28"/>
          <w:lang w:bidi="ar"/>
        </w:rPr>
      </w:pPr>
    </w:p>
    <w:p>
      <w:pPr>
        <w:spacing w:line="640" w:lineRule="exact"/>
        <w:jc w:val="right"/>
        <w:rPr>
          <w:rFonts w:eastAsia="方正仿宋_GBK"/>
          <w:kern w:val="0"/>
          <w:sz w:val="28"/>
          <w:szCs w:val="28"/>
          <w:lang w:bidi="ar"/>
        </w:rPr>
      </w:pPr>
      <w:r>
        <w:rPr>
          <w:rFonts w:eastAsia="方正仿宋_GBK"/>
          <w:sz w:val="28"/>
          <w:szCs w:val="28"/>
          <w:lang w:bidi="ar"/>
        </w:rPr>
        <w:t>单位：</w:t>
      </w:r>
      <w:r>
        <w:rPr>
          <w:rFonts w:hint="eastAsia" w:eastAsia="方正仿宋_GBK"/>
          <w:kern w:val="0"/>
          <w:sz w:val="28"/>
          <w:szCs w:val="28"/>
          <w:lang w:bidi="ar"/>
        </w:rPr>
        <w:t>立方米</w:t>
      </w:r>
      <w:r>
        <w:rPr>
          <w:rFonts w:eastAsia="方正仿宋_GBK"/>
          <w:sz w:val="28"/>
          <w:szCs w:val="28"/>
          <w:lang w:bidi="ar"/>
        </w:rPr>
        <w:t>/</w:t>
      </w:r>
      <w:r>
        <w:rPr>
          <w:rFonts w:hint="eastAsia" w:eastAsia="方正仿宋_GBK"/>
          <w:kern w:val="0"/>
          <w:sz w:val="28"/>
          <w:szCs w:val="28"/>
          <w:lang w:bidi="ar"/>
        </w:rPr>
        <w:t>年</w:t>
      </w: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2569"/>
        <w:gridCol w:w="2028"/>
        <w:gridCol w:w="19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tblHeader/>
        </w:trPr>
        <w:tc>
          <w:tcPr>
            <w:tcW w:w="1390" w:type="pct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eastAsia="方正黑体_GBK"/>
                <w:spacing w:val="-6"/>
                <w:kern w:val="0"/>
                <w:sz w:val="28"/>
                <w:szCs w:val="28"/>
              </w:rPr>
            </w:pPr>
            <w:bookmarkStart w:id="4" w:name="OLE_LINK29"/>
            <w:r>
              <w:rPr>
                <w:rFonts w:hint="eastAsia" w:eastAsia="方正黑体_GBK"/>
                <w:spacing w:val="-6"/>
                <w:kern w:val="0"/>
                <w:sz w:val="28"/>
                <w:szCs w:val="28"/>
              </w:rPr>
              <w:t>取用水单位和个人所在行业类别</w:t>
            </w:r>
          </w:p>
        </w:tc>
        <w:tc>
          <w:tcPr>
            <w:tcW w:w="1418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方正黑体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黑体_GBK"/>
                <w:spacing w:val="-6"/>
                <w:kern w:val="0"/>
                <w:sz w:val="28"/>
                <w:szCs w:val="28"/>
              </w:rPr>
              <w:t>种类</w:t>
            </w:r>
          </w:p>
        </w:tc>
        <w:tc>
          <w:tcPr>
            <w:tcW w:w="1119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方正黑体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黑体_GBK"/>
                <w:spacing w:val="-6"/>
                <w:kern w:val="0"/>
                <w:sz w:val="28"/>
                <w:szCs w:val="28"/>
              </w:rPr>
              <w:t>非超采区</w:t>
            </w:r>
          </w:p>
        </w:tc>
        <w:tc>
          <w:tcPr>
            <w:tcW w:w="1073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方正黑体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黑体_GBK"/>
                <w:spacing w:val="-6"/>
                <w:kern w:val="0"/>
                <w:sz w:val="28"/>
                <w:szCs w:val="28"/>
              </w:rPr>
              <w:t>超采区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" w:hRule="atLeast"/>
        </w:trPr>
        <w:tc>
          <w:tcPr>
            <w:tcW w:w="1390" w:type="pct"/>
            <w:vMerge w:val="restart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bookmarkStart w:id="5" w:name="OLE_LINK9"/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畜牧业</w:t>
            </w:r>
            <w:bookmarkEnd w:id="5"/>
          </w:p>
        </w:tc>
        <w:tc>
          <w:tcPr>
            <w:tcW w:w="1418" w:type="pct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猪</w:t>
            </w:r>
          </w:p>
        </w:tc>
        <w:tc>
          <w:tcPr>
            <w:tcW w:w="1119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2000</w:t>
            </w:r>
          </w:p>
        </w:tc>
        <w:tc>
          <w:tcPr>
            <w:tcW w:w="1073" w:type="pct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390" w:type="pct"/>
            <w:vMerge w:val="continue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</w:p>
        </w:tc>
        <w:tc>
          <w:tcPr>
            <w:tcW w:w="1418" w:type="pct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牛</w:t>
            </w:r>
          </w:p>
        </w:tc>
        <w:tc>
          <w:tcPr>
            <w:tcW w:w="1119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1000</w:t>
            </w:r>
          </w:p>
        </w:tc>
        <w:tc>
          <w:tcPr>
            <w:tcW w:w="1073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390" w:type="pct"/>
            <w:vMerge w:val="continue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</w:p>
        </w:tc>
        <w:tc>
          <w:tcPr>
            <w:tcW w:w="1418" w:type="pct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其他</w:t>
            </w:r>
          </w:p>
        </w:tc>
        <w:tc>
          <w:tcPr>
            <w:tcW w:w="1119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500</w:t>
            </w:r>
          </w:p>
        </w:tc>
        <w:tc>
          <w:tcPr>
            <w:tcW w:w="1073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2808" w:type="pct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水产养殖业</w:t>
            </w:r>
          </w:p>
        </w:tc>
        <w:tc>
          <w:tcPr>
            <w:tcW w:w="1119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bookmarkStart w:id="6" w:name="OLE_LINK47"/>
            <w:bookmarkStart w:id="7" w:name="OLE_LINK48"/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4000</w:t>
            </w:r>
            <w:bookmarkEnd w:id="6"/>
            <w:bookmarkEnd w:id="7"/>
          </w:p>
        </w:tc>
        <w:tc>
          <w:tcPr>
            <w:tcW w:w="1073" w:type="pct"/>
            <w:vMerge w:val="continue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2808" w:type="pct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林业</w:t>
            </w:r>
          </w:p>
        </w:tc>
        <w:tc>
          <w:tcPr>
            <w:tcW w:w="1119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方正仿宋_GBK"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eastAsia="方正仿宋_GBK"/>
                <w:spacing w:val="-6"/>
                <w:kern w:val="0"/>
                <w:sz w:val="28"/>
                <w:szCs w:val="28"/>
              </w:rPr>
              <w:t>4000</w:t>
            </w:r>
          </w:p>
        </w:tc>
        <w:tc>
          <w:tcPr>
            <w:tcW w:w="1073" w:type="pct"/>
            <w:vMerge w:val="continue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kern w:val="0"/>
              </w:rPr>
            </w:pPr>
          </w:p>
        </w:tc>
      </w:tr>
      <w:bookmarkEnd w:id="4"/>
    </w:tbl>
    <w:p>
      <w:pPr>
        <w:widowControl/>
        <w:adjustRightInd w:val="0"/>
        <w:snapToGrid w:val="0"/>
        <w:spacing w:before="120"/>
        <w:rPr>
          <w:rFonts w:eastAsia="方正楷体_GBK"/>
          <w:sz w:val="28"/>
          <w:szCs w:val="28"/>
        </w:rPr>
      </w:pPr>
      <w:r>
        <w:rPr>
          <w:rFonts w:eastAsia="方正楷体_GBK"/>
          <w:sz w:val="28"/>
          <w:szCs w:val="28"/>
        </w:rPr>
        <w:t>备注：</w:t>
      </w:r>
      <w:r>
        <w:rPr>
          <w:rFonts w:hint="eastAsia" w:eastAsia="方正楷体_GBK"/>
          <w:sz w:val="28"/>
          <w:szCs w:val="28"/>
        </w:rPr>
        <w:t>1、对具有统一社会信用代码的同一取用水单位，仅享受一次减免限额，不按取水许可证数量累计减免。</w:t>
      </w:r>
    </w:p>
    <w:p>
      <w:pPr>
        <w:widowControl/>
        <w:adjustRightInd w:val="0"/>
        <w:snapToGrid w:val="0"/>
        <w:spacing w:before="120"/>
        <w:ind w:firstLine="560" w:firstLineChars="200"/>
        <w:rPr>
          <w:rFonts w:eastAsia="方正楷体_GBK"/>
          <w:sz w:val="28"/>
          <w:szCs w:val="28"/>
        </w:rPr>
      </w:pPr>
      <w:r>
        <w:rPr>
          <w:rFonts w:hint="eastAsia" w:eastAsia="方正楷体_GBK"/>
          <w:sz w:val="28"/>
          <w:szCs w:val="28"/>
        </w:rPr>
        <w:t>2、畜牧业中混养的，限额值按照养殖种类数量占比最大种类限额执行。</w:t>
      </w:r>
    </w:p>
    <w:p>
      <w:pPr>
        <w:widowControl/>
        <w:adjustRightInd w:val="0"/>
        <w:snapToGrid w:val="0"/>
        <w:spacing w:before="120"/>
        <w:ind w:firstLine="560" w:firstLineChars="200"/>
        <w:rPr>
          <w:rFonts w:eastAsia="方正楷体_GBK"/>
          <w:sz w:val="28"/>
          <w:szCs w:val="28"/>
        </w:rPr>
      </w:pPr>
      <w:r>
        <w:rPr>
          <w:rFonts w:hint="eastAsia" w:eastAsia="方正楷体_GBK"/>
          <w:sz w:val="28"/>
          <w:szCs w:val="28"/>
        </w:rPr>
        <w:t>3、对超过规定限额的农业生产取用地下水，畜牧业、水产养殖业、林业等就其超过部分减按“其他行业”适用税额的50%征收水资源税，对超出取用水计划的部分不再征收。</w:t>
      </w:r>
    </w:p>
    <w:p>
      <w:pPr>
        <w:widowControl/>
        <w:adjustRightInd w:val="0"/>
        <w:snapToGrid w:val="0"/>
        <w:spacing w:before="120"/>
        <w:ind w:firstLine="560" w:firstLineChars="200"/>
        <w:rPr>
          <w:rFonts w:eastAsia="方正仿宋_GBK"/>
          <w:bCs/>
          <w:sz w:val="32"/>
          <w:szCs w:val="32"/>
        </w:rPr>
      </w:pPr>
      <w:r>
        <w:rPr>
          <w:rFonts w:hint="eastAsia" w:eastAsia="方正楷体_GBK"/>
          <w:sz w:val="28"/>
          <w:szCs w:val="28"/>
        </w:rPr>
        <w:t>4、对未经批准擅自取用水的单位和个人，限额值为0。</w:t>
      </w:r>
      <w:r>
        <w:rPr>
          <w:rFonts w:eastAsia="方正仿宋_GBK"/>
          <w:bCs/>
          <w:sz w:val="32"/>
          <w:szCs w:val="32"/>
        </w:rPr>
        <w:br w:type="page"/>
      </w:r>
    </w:p>
    <w:p>
      <w:pPr>
        <w:widowControl/>
        <w:jc w:val="left"/>
        <w:rPr>
          <w:rFonts w:eastAsia="方正黑体_GBK"/>
          <w:w w:val="94"/>
          <w:kern w:val="0"/>
          <w:sz w:val="32"/>
          <w:szCs w:val="32"/>
        </w:rPr>
      </w:pPr>
      <w:bookmarkStart w:id="8" w:name="_GoBack"/>
      <w:bookmarkEnd w:id="8"/>
    </w:p>
    <w:sectPr>
      <w:footerReference r:id="rId3" w:type="default"/>
      <w:footerReference r:id="rId4" w:type="even"/>
      <w:pgSz w:w="11906" w:h="16838"/>
      <w:pgMar w:top="1985" w:right="1531" w:bottom="1985" w:left="1531" w:header="851" w:footer="113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sz w:val="28"/>
        <w:szCs w:val="28"/>
      </w:rPr>
    </w:pPr>
  </w:p>
  <w:p>
    <w:pPr>
      <w:tabs>
        <w:tab w:val="center" w:pos="4153"/>
        <w:tab w:val="right" w:pos="8306"/>
      </w:tabs>
      <w:snapToGrid w:val="0"/>
      <w:jc w:val="right"/>
      <w:rPr>
        <w:rFonts w:ascii="Calibri" w:hAnsi="Calibri"/>
        <w:sz w:val="18"/>
        <w:szCs w:val="18"/>
      </w:rPr>
    </w:pPr>
    <w:r>
      <w:rPr>
        <w:rFonts w:hint="eastAsia" w:ascii="仿宋_GB2312" w:hAnsi="宋体" w:eastAsia="仿宋_GB2312"/>
        <w:sz w:val="28"/>
        <w:szCs w:val="28"/>
      </w:rPr>
      <w:t>—</w:t>
    </w:r>
    <w:r>
      <w:rPr>
        <w:rFonts w:hint="eastAsia" w:ascii="仿宋_GB2312" w:hAnsi="Calibri" w:eastAsia="仿宋_GB2312"/>
        <w:sz w:val="28"/>
        <w:szCs w:val="28"/>
      </w:rPr>
      <w:t xml:space="preserve"> </w:t>
    </w:r>
    <w:r>
      <w:rPr>
        <w:rFonts w:hint="eastAsia" w:ascii="仿宋_GB2312" w:hAnsi="Calibri" w:eastAsia="仿宋_GB2312"/>
        <w:sz w:val="28"/>
        <w:szCs w:val="28"/>
      </w:rPr>
      <w:fldChar w:fldCharType="begin"/>
    </w:r>
    <w:r>
      <w:rPr>
        <w:rFonts w:hint="eastAsia" w:ascii="仿宋_GB2312" w:hAnsi="Calibri" w:eastAsia="仿宋_GB2312"/>
        <w:sz w:val="28"/>
        <w:szCs w:val="28"/>
      </w:rPr>
      <w:instrText xml:space="preserve">PAGE  </w:instrText>
    </w:r>
    <w:r>
      <w:rPr>
        <w:rFonts w:hint="eastAsia" w:ascii="仿宋_GB2312" w:hAnsi="Calibri" w:eastAsia="仿宋_GB2312"/>
        <w:sz w:val="28"/>
        <w:szCs w:val="28"/>
      </w:rPr>
      <w:fldChar w:fldCharType="separate"/>
    </w:r>
    <w:r>
      <w:rPr>
        <w:rFonts w:ascii="仿宋_GB2312" w:hAnsi="Calibri" w:eastAsia="仿宋_GB2312"/>
        <w:sz w:val="28"/>
        <w:szCs w:val="28"/>
      </w:rPr>
      <w:t>3</w:t>
    </w:r>
    <w:r>
      <w:rPr>
        <w:rFonts w:hint="eastAsia" w:ascii="仿宋_GB2312" w:hAnsi="Calibri" w:eastAsia="仿宋_GB2312"/>
        <w:sz w:val="28"/>
        <w:szCs w:val="28"/>
      </w:rPr>
      <w:fldChar w:fldCharType="end"/>
    </w:r>
    <w:r>
      <w:rPr>
        <w:rFonts w:hint="eastAsia" w:ascii="仿宋_GB2312" w:hAnsi="Calibri" w:eastAsia="仿宋_GB2312"/>
        <w:sz w:val="28"/>
        <w:szCs w:val="28"/>
      </w:rPr>
      <w:t xml:space="preserve"> </w:t>
    </w:r>
    <w:r>
      <w:rPr>
        <w:rFonts w:hint="eastAsia" w:ascii="仿宋_GB2312" w:hAnsi="宋体" w:eastAsia="仿宋_GB2312"/>
        <w:sz w:val="28"/>
        <w:szCs w:val="28"/>
      </w:rPr>
      <w:t>—</w:t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snapToGrid w:val="0"/>
      <w:jc w:val="left"/>
      <w:rPr>
        <w:rFonts w:ascii="Calibri" w:hAnsi="Calibri"/>
        <w:sz w:val="18"/>
        <w:szCs w:val="18"/>
      </w:rPr>
    </w:pPr>
    <w:r>
      <w:rPr>
        <w:rFonts w:hint="eastAsia" w:ascii="仿宋_GB2312" w:hAnsi="宋体" w:eastAsia="仿宋_GB2312"/>
        <w:sz w:val="28"/>
        <w:szCs w:val="28"/>
      </w:rPr>
      <w:t>—</w:t>
    </w:r>
    <w:r>
      <w:rPr>
        <w:rFonts w:hint="eastAsia" w:ascii="仿宋_GB2312" w:hAnsi="Calibri" w:eastAsia="仿宋_GB2312"/>
        <w:sz w:val="28"/>
        <w:szCs w:val="28"/>
      </w:rPr>
      <w:t xml:space="preserve"> </w:t>
    </w:r>
    <w:r>
      <w:rPr>
        <w:rFonts w:hint="eastAsia" w:ascii="仿宋_GB2312" w:hAnsi="Calibri" w:eastAsia="仿宋_GB2312"/>
        <w:sz w:val="28"/>
        <w:szCs w:val="28"/>
      </w:rPr>
      <w:fldChar w:fldCharType="begin"/>
    </w:r>
    <w:r>
      <w:rPr>
        <w:rFonts w:hint="eastAsia" w:ascii="仿宋_GB2312" w:hAnsi="Calibri" w:eastAsia="仿宋_GB2312"/>
        <w:sz w:val="28"/>
        <w:szCs w:val="28"/>
      </w:rPr>
      <w:instrText xml:space="preserve">PAGE  </w:instrText>
    </w:r>
    <w:r>
      <w:rPr>
        <w:rFonts w:hint="eastAsia" w:ascii="仿宋_GB2312" w:hAnsi="Calibri" w:eastAsia="仿宋_GB2312"/>
        <w:sz w:val="28"/>
        <w:szCs w:val="28"/>
      </w:rPr>
      <w:fldChar w:fldCharType="separate"/>
    </w:r>
    <w:r>
      <w:rPr>
        <w:rFonts w:ascii="仿宋_GB2312" w:hAnsi="Calibri" w:eastAsia="仿宋_GB2312"/>
        <w:sz w:val="28"/>
        <w:szCs w:val="28"/>
      </w:rPr>
      <w:t>4</w:t>
    </w:r>
    <w:r>
      <w:rPr>
        <w:rFonts w:hint="eastAsia" w:ascii="仿宋_GB2312" w:hAnsi="Calibri" w:eastAsia="仿宋_GB2312"/>
        <w:sz w:val="28"/>
        <w:szCs w:val="28"/>
      </w:rPr>
      <w:fldChar w:fldCharType="end"/>
    </w:r>
    <w:r>
      <w:rPr>
        <w:rFonts w:hint="eastAsia" w:ascii="仿宋_GB2312" w:hAnsi="Calibri" w:eastAsia="仿宋_GB2312"/>
        <w:sz w:val="28"/>
        <w:szCs w:val="28"/>
      </w:rPr>
      <w:t xml:space="preserve"> </w:t>
    </w:r>
    <w:r>
      <w:rPr>
        <w:rFonts w:hint="eastAsia" w:ascii="仿宋_GB2312" w:hAnsi="宋体" w:eastAsia="仿宋_GB2312"/>
        <w:sz w:val="28"/>
        <w:szCs w:val="28"/>
      </w:rPr>
      <w:t>—</w: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doNotDisplayPageBoundaries w:val="1"/>
  <w:displayBackgroundShape w:val="1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F54"/>
    <w:rsid w:val="00002521"/>
    <w:rsid w:val="00007DCF"/>
    <w:rsid w:val="0002008A"/>
    <w:rsid w:val="00041E19"/>
    <w:rsid w:val="000445AF"/>
    <w:rsid w:val="000608CD"/>
    <w:rsid w:val="000D3077"/>
    <w:rsid w:val="000D7596"/>
    <w:rsid w:val="00110F72"/>
    <w:rsid w:val="00145FC2"/>
    <w:rsid w:val="001679F6"/>
    <w:rsid w:val="00190471"/>
    <w:rsid w:val="001B788D"/>
    <w:rsid w:val="001D15A5"/>
    <w:rsid w:val="001E35BB"/>
    <w:rsid w:val="00261F89"/>
    <w:rsid w:val="0028362B"/>
    <w:rsid w:val="0029033C"/>
    <w:rsid w:val="002A429A"/>
    <w:rsid w:val="002C1174"/>
    <w:rsid w:val="002D43FD"/>
    <w:rsid w:val="002F18ED"/>
    <w:rsid w:val="0030696E"/>
    <w:rsid w:val="00342427"/>
    <w:rsid w:val="00357636"/>
    <w:rsid w:val="00367381"/>
    <w:rsid w:val="0038463C"/>
    <w:rsid w:val="003D3600"/>
    <w:rsid w:val="0044465E"/>
    <w:rsid w:val="00452FA5"/>
    <w:rsid w:val="00475B84"/>
    <w:rsid w:val="004819AF"/>
    <w:rsid w:val="00485BE5"/>
    <w:rsid w:val="004A2423"/>
    <w:rsid w:val="004A599F"/>
    <w:rsid w:val="004B2680"/>
    <w:rsid w:val="004B5B9B"/>
    <w:rsid w:val="004B7352"/>
    <w:rsid w:val="004D1D60"/>
    <w:rsid w:val="004E6686"/>
    <w:rsid w:val="00507523"/>
    <w:rsid w:val="005113B4"/>
    <w:rsid w:val="0053096D"/>
    <w:rsid w:val="00544EBE"/>
    <w:rsid w:val="005B71B6"/>
    <w:rsid w:val="005E075B"/>
    <w:rsid w:val="005F5207"/>
    <w:rsid w:val="00620E94"/>
    <w:rsid w:val="00621ACB"/>
    <w:rsid w:val="00637557"/>
    <w:rsid w:val="00645E85"/>
    <w:rsid w:val="00674F2F"/>
    <w:rsid w:val="00692DE0"/>
    <w:rsid w:val="006F354D"/>
    <w:rsid w:val="00713D66"/>
    <w:rsid w:val="00713E16"/>
    <w:rsid w:val="00727EDF"/>
    <w:rsid w:val="00756C9D"/>
    <w:rsid w:val="00785C5A"/>
    <w:rsid w:val="00800B77"/>
    <w:rsid w:val="008305BB"/>
    <w:rsid w:val="008416C6"/>
    <w:rsid w:val="008830DA"/>
    <w:rsid w:val="0089701B"/>
    <w:rsid w:val="008A0764"/>
    <w:rsid w:val="008A0CEA"/>
    <w:rsid w:val="008B412F"/>
    <w:rsid w:val="00901EE5"/>
    <w:rsid w:val="009662B9"/>
    <w:rsid w:val="009C59D4"/>
    <w:rsid w:val="009F408F"/>
    <w:rsid w:val="00A020F2"/>
    <w:rsid w:val="00A02BED"/>
    <w:rsid w:val="00A13D27"/>
    <w:rsid w:val="00A265C5"/>
    <w:rsid w:val="00A460A9"/>
    <w:rsid w:val="00A5532F"/>
    <w:rsid w:val="00A56941"/>
    <w:rsid w:val="00A631CC"/>
    <w:rsid w:val="00A67C73"/>
    <w:rsid w:val="00A72EFA"/>
    <w:rsid w:val="00A838E4"/>
    <w:rsid w:val="00AB5080"/>
    <w:rsid w:val="00AE545C"/>
    <w:rsid w:val="00B0376D"/>
    <w:rsid w:val="00B26711"/>
    <w:rsid w:val="00B45BFA"/>
    <w:rsid w:val="00B57882"/>
    <w:rsid w:val="00B90056"/>
    <w:rsid w:val="00BB760C"/>
    <w:rsid w:val="00BC553B"/>
    <w:rsid w:val="00BD0F54"/>
    <w:rsid w:val="00BD60D4"/>
    <w:rsid w:val="00CE3906"/>
    <w:rsid w:val="00D06B43"/>
    <w:rsid w:val="00D1113F"/>
    <w:rsid w:val="00D2138D"/>
    <w:rsid w:val="00D21725"/>
    <w:rsid w:val="00D25D2F"/>
    <w:rsid w:val="00D42D25"/>
    <w:rsid w:val="00D87A3D"/>
    <w:rsid w:val="00DB4D9B"/>
    <w:rsid w:val="00DE70DB"/>
    <w:rsid w:val="00DF6E23"/>
    <w:rsid w:val="00E0664F"/>
    <w:rsid w:val="00E247CE"/>
    <w:rsid w:val="00E47A0A"/>
    <w:rsid w:val="00EA2254"/>
    <w:rsid w:val="00EB3EAE"/>
    <w:rsid w:val="00EC4551"/>
    <w:rsid w:val="00ED4976"/>
    <w:rsid w:val="00EF5549"/>
    <w:rsid w:val="00F10BD0"/>
    <w:rsid w:val="00F429AC"/>
    <w:rsid w:val="00F73535"/>
    <w:rsid w:val="00FA1A74"/>
    <w:rsid w:val="00FA2F3A"/>
    <w:rsid w:val="00FC3852"/>
    <w:rsid w:val="067A5F0E"/>
    <w:rsid w:val="08575767"/>
    <w:rsid w:val="0FD52407"/>
    <w:rsid w:val="16D8494C"/>
    <w:rsid w:val="199F67AB"/>
    <w:rsid w:val="35742CDF"/>
    <w:rsid w:val="358759DA"/>
    <w:rsid w:val="3EEA2F2A"/>
    <w:rsid w:val="408E506E"/>
    <w:rsid w:val="448E5181"/>
    <w:rsid w:val="52E71802"/>
    <w:rsid w:val="569A4DDE"/>
    <w:rsid w:val="59FA9E06"/>
    <w:rsid w:val="5E983FA4"/>
    <w:rsid w:val="6C7C7FE2"/>
    <w:rsid w:val="6EF91A63"/>
    <w:rsid w:val="72FE28B1"/>
    <w:rsid w:val="773874B1"/>
    <w:rsid w:val="79AF1676"/>
    <w:rsid w:val="7DD10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qFormat/>
    <w:uiPriority w:val="0"/>
    <w:rPr>
      <w:sz w:val="18"/>
      <w:szCs w:val="18"/>
    </w:r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link w:val="4"/>
    <w:qFormat/>
    <w:uiPriority w:val="0"/>
    <w:rPr>
      <w:kern w:val="2"/>
      <w:sz w:val="18"/>
      <w:szCs w:val="18"/>
    </w:rPr>
  </w:style>
  <w:style w:type="character" w:customStyle="1" w:styleId="10">
    <w:name w:val="页脚 Char"/>
    <w:link w:val="3"/>
    <w:qFormat/>
    <w:uiPriority w:val="99"/>
    <w:rPr>
      <w:kern w:val="2"/>
      <w:sz w:val="18"/>
      <w:szCs w:val="18"/>
    </w:rPr>
  </w:style>
  <w:style w:type="character" w:customStyle="1" w:styleId="11">
    <w:name w:val="批注框文本 Char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170</Words>
  <Characters>970</Characters>
  <Lines>8</Lines>
  <Paragraphs>2</Paragraphs>
  <TotalTime>237</TotalTime>
  <ScaleCrop>false</ScaleCrop>
  <LinksUpToDate>false</LinksUpToDate>
  <CharactersWithSpaces>1138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2025-11-12T14:58:00Z</dcterms:created>
  <dc:creator>caoy</dc:creator>
  <cp:lastModifiedBy>kylin</cp:lastModifiedBy>
  <cp:lastPrinted>2025-06-03T16:48:00Z</cp:lastPrinted>
  <dcterms:modified xsi:type="dcterms:W3CDTF">2025-11-25T16:36:46Z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ADA7A128A4E74BCF9E6A2569F8EA27FF</vt:lpwstr>
  </property>
  <property fmtid="{D5CDD505-2E9C-101B-9397-08002B2CF9AE}" pid="4" name="KSOTemplateDocerSaveRecord">
    <vt:lpwstr>eyJoZGlkIjoiOTE0OGFhODhiYTE3OGFmMzc4ODQxOWM5YWNjOThkNzkiLCJ1c2VySWQiOiI0NTc2MzQxNTMifQ==</vt:lpwstr>
  </property>
</Properties>
</file>