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78" w:lineRule="exact"/>
        <w:jc w:val="left"/>
        <w:rPr>
          <w:rFonts w:eastAsia="方正黑体_GBK"/>
          <w:bCs/>
          <w:kern w:val="0"/>
          <w:szCs w:val="32"/>
        </w:rPr>
      </w:pPr>
      <w:bookmarkStart w:id="13" w:name="_GoBack"/>
      <w:bookmarkEnd w:id="13"/>
      <w:r>
        <w:rPr>
          <w:rFonts w:hint="eastAsia" w:eastAsia="方正黑体_GBK"/>
          <w:bCs/>
          <w:kern w:val="0"/>
          <w:szCs w:val="32"/>
        </w:rPr>
        <w:t>附件</w:t>
      </w:r>
    </w:p>
    <w:p>
      <w:pPr>
        <w:widowControl/>
        <w:spacing w:line="578" w:lineRule="exact"/>
        <w:ind w:firstLine="722" w:firstLineChars="200"/>
        <w:jc w:val="center"/>
        <w:rPr>
          <w:rFonts w:eastAsia="方正小标宋_GBK"/>
          <w:b/>
          <w:bCs/>
          <w:sz w:val="36"/>
          <w:szCs w:val="36"/>
        </w:rPr>
      </w:pPr>
      <w:bookmarkStart w:id="0" w:name="OLE_LINK5"/>
      <w:bookmarkStart w:id="1" w:name="OLE_LINK4"/>
      <w:r>
        <w:rPr>
          <w:rFonts w:eastAsia="方正小标宋_GBK"/>
          <w:b/>
          <w:bCs/>
          <w:sz w:val="36"/>
          <w:szCs w:val="36"/>
        </w:rPr>
        <w:t>江苏</w:t>
      </w:r>
      <w:r>
        <w:rPr>
          <w:rFonts w:hint="eastAsia" w:eastAsia="方正小标宋_GBK"/>
          <w:b/>
          <w:bCs/>
          <w:sz w:val="36"/>
          <w:szCs w:val="36"/>
        </w:rPr>
        <w:t>省畜牧业、水产养殖业、林业取用地下水限额</w:t>
      </w:r>
      <w:bookmarkEnd w:id="0"/>
      <w:bookmarkEnd w:id="1"/>
    </w:p>
    <w:p>
      <w:pPr>
        <w:widowControl/>
        <w:spacing w:line="578" w:lineRule="exact"/>
        <w:ind w:firstLine="640" w:firstLineChars="200"/>
        <w:jc w:val="right"/>
        <w:rPr>
          <w:bCs/>
          <w:kern w:val="0"/>
          <w:szCs w:val="28"/>
        </w:rPr>
      </w:pPr>
      <w:r>
        <w:rPr>
          <w:rFonts w:hint="eastAsia"/>
          <w:bCs/>
          <w:szCs w:val="28"/>
        </w:rPr>
        <w:t>单位：</w:t>
      </w:r>
      <w:bookmarkStart w:id="2" w:name="OLE_LINK10"/>
      <w:bookmarkStart w:id="3" w:name="OLE_LINK11"/>
      <w:r>
        <w:rPr>
          <w:rFonts w:hint="eastAsia"/>
          <w:bCs/>
          <w:kern w:val="0"/>
          <w:szCs w:val="28"/>
        </w:rPr>
        <w:t>立方米</w:t>
      </w:r>
      <w:r>
        <w:rPr>
          <w:bCs/>
          <w:szCs w:val="28"/>
        </w:rPr>
        <w:t>/</w:t>
      </w:r>
      <w:r>
        <w:rPr>
          <w:rFonts w:hint="eastAsia"/>
          <w:bCs/>
          <w:kern w:val="0"/>
          <w:szCs w:val="28"/>
        </w:rPr>
        <w:t>年</w:t>
      </w:r>
      <w:bookmarkStart w:id="4" w:name="OLE_LINK30"/>
      <w:r>
        <w:rPr>
          <w:bCs/>
          <w:kern w:val="0"/>
          <w:szCs w:val="28"/>
        </w:rPr>
        <w:t>·</w:t>
      </w:r>
      <w:bookmarkEnd w:id="4"/>
      <w:r>
        <w:rPr>
          <w:rFonts w:hint="eastAsia"/>
          <w:bCs/>
          <w:kern w:val="0"/>
          <w:szCs w:val="28"/>
        </w:rPr>
        <w:t>户</w:t>
      </w:r>
      <w:bookmarkEnd w:id="2"/>
      <w:bookmarkEnd w:id="3"/>
    </w:p>
    <w:tbl>
      <w:tblPr>
        <w:tblStyle w:val="5"/>
        <w:tblW w:w="480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95"/>
        <w:gridCol w:w="2335"/>
        <w:gridCol w:w="2787"/>
        <w:gridCol w:w="2632"/>
        <w:gridCol w:w="31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blHeader/>
          <w:jc w:val="center"/>
        </w:trPr>
        <w:tc>
          <w:tcPr>
            <w:tcW w:w="990" w:type="pct"/>
            <w:vMerge w:val="restart"/>
            <w:shd w:val="clear" w:color="auto" w:fill="auto"/>
            <w:vAlign w:val="center"/>
          </w:tcPr>
          <w:p>
            <w:pPr>
              <w:widowControl/>
              <w:adjustRightInd w:val="0"/>
              <w:snapToGrid w:val="0"/>
              <w:jc w:val="center"/>
              <w:rPr>
                <w:rFonts w:eastAsia="方正黑体_GBK"/>
                <w:bCs/>
                <w:spacing w:val="-6"/>
                <w:kern w:val="0"/>
                <w:szCs w:val="32"/>
              </w:rPr>
            </w:pPr>
            <w:bookmarkStart w:id="5" w:name="OLE_LINK12"/>
            <w:bookmarkStart w:id="6" w:name="OLE_LINK15"/>
            <w:bookmarkStart w:id="7" w:name="OLE_LINK29"/>
            <w:r>
              <w:rPr>
                <w:rFonts w:hint="eastAsia" w:eastAsia="方正黑体_GBK"/>
                <w:bCs/>
                <w:spacing w:val="-6"/>
                <w:kern w:val="0"/>
                <w:szCs w:val="32"/>
              </w:rPr>
              <w:t>取用水单位和个人所在行业类别</w:t>
            </w:r>
            <w:bookmarkEnd w:id="5"/>
          </w:p>
        </w:tc>
        <w:tc>
          <w:tcPr>
            <w:tcW w:w="858" w:type="pct"/>
            <w:vMerge w:val="restart"/>
            <w:shd w:val="clear" w:color="auto" w:fill="auto"/>
            <w:vAlign w:val="center"/>
          </w:tcPr>
          <w:p>
            <w:pPr>
              <w:widowControl/>
              <w:adjustRightInd w:val="0"/>
              <w:snapToGrid w:val="0"/>
              <w:jc w:val="center"/>
              <w:rPr>
                <w:rFonts w:eastAsia="方正黑体_GBK"/>
                <w:bCs/>
                <w:spacing w:val="-6"/>
                <w:kern w:val="0"/>
                <w:szCs w:val="32"/>
              </w:rPr>
            </w:pPr>
            <w:r>
              <w:rPr>
                <w:rFonts w:hint="eastAsia" w:eastAsia="方正黑体_GBK"/>
                <w:bCs/>
                <w:spacing w:val="-6"/>
                <w:kern w:val="0"/>
                <w:szCs w:val="32"/>
              </w:rPr>
              <w:t>种类</w:t>
            </w:r>
          </w:p>
        </w:tc>
        <w:tc>
          <w:tcPr>
            <w:tcW w:w="1991" w:type="pct"/>
            <w:gridSpan w:val="2"/>
            <w:shd w:val="clear" w:color="auto" w:fill="auto"/>
            <w:vAlign w:val="center"/>
          </w:tcPr>
          <w:p>
            <w:pPr>
              <w:widowControl/>
              <w:adjustRightInd w:val="0"/>
              <w:snapToGrid w:val="0"/>
              <w:jc w:val="center"/>
              <w:rPr>
                <w:rFonts w:eastAsia="方正黑体_GBK"/>
                <w:bCs/>
                <w:spacing w:val="-6"/>
                <w:kern w:val="0"/>
                <w:szCs w:val="32"/>
              </w:rPr>
            </w:pPr>
            <w:r>
              <w:rPr>
                <w:rFonts w:hint="eastAsia" w:eastAsia="方正黑体_GBK"/>
                <w:bCs/>
                <w:spacing w:val="-6"/>
                <w:kern w:val="0"/>
                <w:szCs w:val="32"/>
              </w:rPr>
              <w:t>非超采区</w:t>
            </w:r>
          </w:p>
        </w:tc>
        <w:tc>
          <w:tcPr>
            <w:tcW w:w="1161" w:type="pct"/>
            <w:vMerge w:val="restart"/>
            <w:shd w:val="clear" w:color="auto" w:fill="auto"/>
            <w:vAlign w:val="center"/>
          </w:tcPr>
          <w:p>
            <w:pPr>
              <w:widowControl/>
              <w:adjustRightInd w:val="0"/>
              <w:snapToGrid w:val="0"/>
              <w:jc w:val="center"/>
              <w:rPr>
                <w:rFonts w:eastAsia="方正黑体_GBK"/>
                <w:bCs/>
                <w:spacing w:val="-6"/>
                <w:kern w:val="0"/>
                <w:szCs w:val="32"/>
              </w:rPr>
            </w:pPr>
            <w:r>
              <w:rPr>
                <w:rFonts w:hint="eastAsia" w:eastAsia="方正黑体_GBK"/>
                <w:bCs/>
                <w:spacing w:val="-6"/>
                <w:kern w:val="0"/>
                <w:szCs w:val="32"/>
              </w:rPr>
              <w:t>超采区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blHeader/>
          <w:jc w:val="center"/>
        </w:trPr>
        <w:tc>
          <w:tcPr>
            <w:tcW w:w="990" w:type="pct"/>
            <w:vMerge w:val="continue"/>
            <w:shd w:val="clear" w:color="auto" w:fill="auto"/>
            <w:vAlign w:val="center"/>
          </w:tcPr>
          <w:p>
            <w:pPr>
              <w:widowControl/>
              <w:adjustRightInd w:val="0"/>
              <w:snapToGrid w:val="0"/>
              <w:jc w:val="center"/>
              <w:rPr>
                <w:rFonts w:eastAsia="方正黑体_GBK"/>
                <w:bCs/>
                <w:spacing w:val="-6"/>
                <w:kern w:val="0"/>
                <w:szCs w:val="32"/>
              </w:rPr>
            </w:pPr>
          </w:p>
        </w:tc>
        <w:tc>
          <w:tcPr>
            <w:tcW w:w="858" w:type="pct"/>
            <w:vMerge w:val="continue"/>
            <w:shd w:val="clear" w:color="auto" w:fill="auto"/>
            <w:vAlign w:val="center"/>
          </w:tcPr>
          <w:p>
            <w:pPr>
              <w:widowControl/>
              <w:adjustRightInd w:val="0"/>
              <w:snapToGrid w:val="0"/>
              <w:jc w:val="center"/>
              <w:rPr>
                <w:rFonts w:eastAsia="方正黑体_GBK"/>
                <w:bCs/>
                <w:spacing w:val="-6"/>
                <w:kern w:val="0"/>
                <w:szCs w:val="32"/>
              </w:rPr>
            </w:pPr>
          </w:p>
        </w:tc>
        <w:tc>
          <w:tcPr>
            <w:tcW w:w="1024" w:type="pct"/>
            <w:shd w:val="clear" w:color="auto" w:fill="auto"/>
            <w:vAlign w:val="center"/>
          </w:tcPr>
          <w:p>
            <w:pPr>
              <w:widowControl/>
              <w:adjustRightInd w:val="0"/>
              <w:snapToGrid w:val="0"/>
              <w:jc w:val="center"/>
              <w:rPr>
                <w:rFonts w:eastAsia="方正黑体_GBK"/>
                <w:bCs/>
                <w:spacing w:val="-6"/>
                <w:kern w:val="0"/>
                <w:szCs w:val="32"/>
              </w:rPr>
            </w:pPr>
            <w:r>
              <w:rPr>
                <w:rFonts w:hint="eastAsia" w:eastAsia="方正黑体_GBK"/>
                <w:bCs/>
                <w:spacing w:val="-6"/>
                <w:kern w:val="0"/>
                <w:szCs w:val="32"/>
              </w:rPr>
              <w:t>合法取水</w:t>
            </w:r>
          </w:p>
        </w:tc>
        <w:tc>
          <w:tcPr>
            <w:tcW w:w="967" w:type="pct"/>
            <w:shd w:val="clear" w:color="auto" w:fill="auto"/>
            <w:vAlign w:val="center"/>
          </w:tcPr>
          <w:p>
            <w:pPr>
              <w:widowControl/>
              <w:adjustRightInd w:val="0"/>
              <w:snapToGrid w:val="0"/>
              <w:jc w:val="center"/>
              <w:rPr>
                <w:rFonts w:eastAsia="方正黑体_GBK"/>
                <w:bCs/>
                <w:spacing w:val="-6"/>
                <w:kern w:val="0"/>
                <w:szCs w:val="32"/>
              </w:rPr>
            </w:pPr>
            <w:r>
              <w:rPr>
                <w:rFonts w:hint="eastAsia" w:eastAsia="方正黑体_GBK"/>
                <w:bCs/>
                <w:spacing w:val="-6"/>
                <w:kern w:val="0"/>
                <w:szCs w:val="32"/>
              </w:rPr>
              <w:t>非法取水</w:t>
            </w:r>
          </w:p>
        </w:tc>
        <w:tc>
          <w:tcPr>
            <w:tcW w:w="1161" w:type="pct"/>
            <w:vMerge w:val="continue"/>
            <w:shd w:val="clear" w:color="auto" w:fill="auto"/>
            <w:vAlign w:val="center"/>
          </w:tcPr>
          <w:p>
            <w:pPr>
              <w:widowControl/>
              <w:adjustRightInd w:val="0"/>
              <w:snapToGrid w:val="0"/>
              <w:jc w:val="center"/>
              <w:rPr>
                <w:rFonts w:eastAsia="方正黑体_GBK"/>
                <w:bCs/>
                <w:spacing w:val="-6"/>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jc w:val="center"/>
        </w:trPr>
        <w:tc>
          <w:tcPr>
            <w:tcW w:w="990" w:type="pct"/>
            <w:vMerge w:val="restart"/>
            <w:shd w:val="clear" w:color="auto" w:fill="auto"/>
            <w:vAlign w:val="center"/>
          </w:tcPr>
          <w:p>
            <w:pPr>
              <w:adjustRightInd w:val="0"/>
              <w:snapToGrid w:val="0"/>
              <w:jc w:val="center"/>
              <w:rPr>
                <w:bCs/>
                <w:spacing w:val="-6"/>
                <w:kern w:val="0"/>
                <w:szCs w:val="32"/>
              </w:rPr>
            </w:pPr>
            <w:r>
              <w:rPr>
                <w:rFonts w:hint="eastAsia"/>
                <w:bCs/>
                <w:spacing w:val="-6"/>
                <w:kern w:val="0"/>
                <w:szCs w:val="32"/>
              </w:rPr>
              <w:t>畜牧业</w:t>
            </w:r>
          </w:p>
        </w:tc>
        <w:tc>
          <w:tcPr>
            <w:tcW w:w="858" w:type="pct"/>
            <w:shd w:val="clear" w:color="auto" w:fill="auto"/>
            <w:vAlign w:val="center"/>
          </w:tcPr>
          <w:p>
            <w:pPr>
              <w:adjustRightInd w:val="0"/>
              <w:snapToGrid w:val="0"/>
              <w:jc w:val="center"/>
              <w:rPr>
                <w:bCs/>
                <w:spacing w:val="-6"/>
                <w:kern w:val="0"/>
                <w:szCs w:val="32"/>
              </w:rPr>
            </w:pPr>
            <w:r>
              <w:rPr>
                <w:rFonts w:hint="eastAsia"/>
                <w:bCs/>
                <w:spacing w:val="-6"/>
                <w:kern w:val="0"/>
                <w:szCs w:val="32"/>
              </w:rPr>
              <w:t>猪</w:t>
            </w:r>
          </w:p>
        </w:tc>
        <w:tc>
          <w:tcPr>
            <w:tcW w:w="1024" w:type="pct"/>
            <w:shd w:val="clear" w:color="auto" w:fill="auto"/>
            <w:vAlign w:val="center"/>
          </w:tcPr>
          <w:p>
            <w:pPr>
              <w:widowControl/>
              <w:adjustRightInd w:val="0"/>
              <w:snapToGrid w:val="0"/>
              <w:jc w:val="center"/>
              <w:rPr>
                <w:bCs/>
                <w:spacing w:val="-6"/>
                <w:kern w:val="0"/>
                <w:szCs w:val="32"/>
              </w:rPr>
            </w:pPr>
            <w:r>
              <w:rPr>
                <w:bCs/>
                <w:spacing w:val="-6"/>
                <w:kern w:val="0"/>
                <w:szCs w:val="32"/>
              </w:rPr>
              <w:t>2000</w:t>
            </w:r>
          </w:p>
        </w:tc>
        <w:tc>
          <w:tcPr>
            <w:tcW w:w="967" w:type="pct"/>
            <w:vMerge w:val="restart"/>
            <w:shd w:val="clear" w:color="auto" w:fill="auto"/>
            <w:vAlign w:val="center"/>
          </w:tcPr>
          <w:p>
            <w:pPr>
              <w:widowControl/>
              <w:adjustRightInd w:val="0"/>
              <w:snapToGrid w:val="0"/>
              <w:jc w:val="center"/>
              <w:rPr>
                <w:bCs/>
                <w:spacing w:val="-6"/>
                <w:kern w:val="0"/>
                <w:szCs w:val="32"/>
              </w:rPr>
            </w:pPr>
            <w:r>
              <w:rPr>
                <w:bCs/>
                <w:spacing w:val="-6"/>
                <w:kern w:val="0"/>
                <w:szCs w:val="32"/>
              </w:rPr>
              <w:t>0</w:t>
            </w:r>
          </w:p>
        </w:tc>
        <w:tc>
          <w:tcPr>
            <w:tcW w:w="1161" w:type="pct"/>
            <w:vMerge w:val="restart"/>
            <w:shd w:val="clear" w:color="auto" w:fill="auto"/>
            <w:vAlign w:val="center"/>
          </w:tcPr>
          <w:p>
            <w:pPr>
              <w:widowControl/>
              <w:adjustRightInd w:val="0"/>
              <w:snapToGrid w:val="0"/>
              <w:jc w:val="center"/>
              <w:rPr>
                <w:bCs/>
                <w:spacing w:val="-6"/>
                <w:kern w:val="0"/>
                <w:szCs w:val="32"/>
              </w:rPr>
            </w:pPr>
            <w:r>
              <w:rPr>
                <w:bCs/>
                <w:spacing w:val="-6"/>
                <w:kern w:val="0"/>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990" w:type="pct"/>
            <w:vMerge w:val="continue"/>
            <w:shd w:val="clear" w:color="auto" w:fill="auto"/>
            <w:vAlign w:val="center"/>
          </w:tcPr>
          <w:p>
            <w:pPr>
              <w:adjustRightInd w:val="0"/>
              <w:snapToGrid w:val="0"/>
              <w:jc w:val="center"/>
              <w:rPr>
                <w:bCs/>
                <w:spacing w:val="-6"/>
                <w:kern w:val="0"/>
                <w:szCs w:val="32"/>
              </w:rPr>
            </w:pPr>
          </w:p>
        </w:tc>
        <w:tc>
          <w:tcPr>
            <w:tcW w:w="858" w:type="pct"/>
            <w:shd w:val="clear" w:color="auto" w:fill="auto"/>
            <w:vAlign w:val="center"/>
          </w:tcPr>
          <w:p>
            <w:pPr>
              <w:adjustRightInd w:val="0"/>
              <w:snapToGrid w:val="0"/>
              <w:jc w:val="center"/>
              <w:rPr>
                <w:bCs/>
                <w:spacing w:val="-6"/>
                <w:kern w:val="0"/>
                <w:szCs w:val="32"/>
              </w:rPr>
            </w:pPr>
            <w:r>
              <w:rPr>
                <w:rFonts w:hint="eastAsia"/>
                <w:bCs/>
                <w:spacing w:val="-6"/>
                <w:kern w:val="0"/>
                <w:szCs w:val="32"/>
              </w:rPr>
              <w:t>牛</w:t>
            </w:r>
          </w:p>
        </w:tc>
        <w:tc>
          <w:tcPr>
            <w:tcW w:w="1024" w:type="pct"/>
            <w:shd w:val="clear" w:color="auto" w:fill="auto"/>
            <w:vAlign w:val="center"/>
          </w:tcPr>
          <w:p>
            <w:pPr>
              <w:widowControl/>
              <w:adjustRightInd w:val="0"/>
              <w:snapToGrid w:val="0"/>
              <w:jc w:val="center"/>
              <w:rPr>
                <w:bCs/>
                <w:spacing w:val="-6"/>
                <w:kern w:val="0"/>
                <w:szCs w:val="32"/>
              </w:rPr>
            </w:pPr>
            <w:r>
              <w:rPr>
                <w:bCs/>
                <w:spacing w:val="-6"/>
                <w:kern w:val="0"/>
                <w:szCs w:val="32"/>
              </w:rPr>
              <w:t>1000</w:t>
            </w:r>
          </w:p>
        </w:tc>
        <w:tc>
          <w:tcPr>
            <w:tcW w:w="967" w:type="pct"/>
            <w:vMerge w:val="continue"/>
            <w:shd w:val="clear" w:color="auto" w:fill="auto"/>
            <w:vAlign w:val="center"/>
          </w:tcPr>
          <w:p>
            <w:pPr>
              <w:widowControl/>
              <w:adjustRightInd w:val="0"/>
              <w:snapToGrid w:val="0"/>
              <w:jc w:val="center"/>
              <w:rPr>
                <w:bCs/>
                <w:spacing w:val="-6"/>
                <w:kern w:val="0"/>
                <w:szCs w:val="32"/>
              </w:rPr>
            </w:pPr>
          </w:p>
        </w:tc>
        <w:tc>
          <w:tcPr>
            <w:tcW w:w="1161" w:type="pct"/>
            <w:vMerge w:val="continue"/>
            <w:shd w:val="clear" w:color="auto" w:fill="auto"/>
            <w:vAlign w:val="center"/>
          </w:tcPr>
          <w:p>
            <w:pPr>
              <w:adjustRightInd w:val="0"/>
              <w:snapToGrid w:val="0"/>
              <w:jc w:val="center"/>
              <w:rPr>
                <w:bCs/>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 w:hRule="atLeast"/>
          <w:jc w:val="center"/>
        </w:trPr>
        <w:tc>
          <w:tcPr>
            <w:tcW w:w="990" w:type="pct"/>
            <w:vMerge w:val="continue"/>
            <w:shd w:val="clear" w:color="auto" w:fill="auto"/>
            <w:vAlign w:val="center"/>
          </w:tcPr>
          <w:p>
            <w:pPr>
              <w:adjustRightInd w:val="0"/>
              <w:snapToGrid w:val="0"/>
              <w:jc w:val="center"/>
              <w:rPr>
                <w:bCs/>
                <w:spacing w:val="-6"/>
                <w:kern w:val="0"/>
                <w:szCs w:val="32"/>
              </w:rPr>
            </w:pPr>
          </w:p>
        </w:tc>
        <w:tc>
          <w:tcPr>
            <w:tcW w:w="858" w:type="pct"/>
            <w:shd w:val="clear" w:color="auto" w:fill="auto"/>
            <w:vAlign w:val="center"/>
          </w:tcPr>
          <w:p>
            <w:pPr>
              <w:adjustRightInd w:val="0"/>
              <w:snapToGrid w:val="0"/>
              <w:jc w:val="center"/>
              <w:rPr>
                <w:bCs/>
                <w:spacing w:val="-6"/>
                <w:kern w:val="0"/>
                <w:szCs w:val="32"/>
              </w:rPr>
            </w:pPr>
            <w:r>
              <w:rPr>
                <w:rFonts w:hint="eastAsia"/>
                <w:bCs/>
                <w:spacing w:val="-6"/>
                <w:kern w:val="0"/>
                <w:szCs w:val="32"/>
              </w:rPr>
              <w:t>其他</w:t>
            </w:r>
          </w:p>
        </w:tc>
        <w:tc>
          <w:tcPr>
            <w:tcW w:w="1024" w:type="pct"/>
            <w:shd w:val="clear" w:color="auto" w:fill="auto"/>
            <w:vAlign w:val="center"/>
          </w:tcPr>
          <w:p>
            <w:pPr>
              <w:widowControl/>
              <w:adjustRightInd w:val="0"/>
              <w:snapToGrid w:val="0"/>
              <w:jc w:val="center"/>
              <w:rPr>
                <w:bCs/>
                <w:spacing w:val="-6"/>
                <w:kern w:val="0"/>
                <w:szCs w:val="32"/>
              </w:rPr>
            </w:pPr>
            <w:r>
              <w:rPr>
                <w:bCs/>
                <w:spacing w:val="-6"/>
                <w:kern w:val="0"/>
                <w:szCs w:val="32"/>
              </w:rPr>
              <w:t>500</w:t>
            </w:r>
          </w:p>
        </w:tc>
        <w:tc>
          <w:tcPr>
            <w:tcW w:w="967" w:type="pct"/>
            <w:vMerge w:val="continue"/>
            <w:shd w:val="clear" w:color="auto" w:fill="auto"/>
            <w:vAlign w:val="center"/>
          </w:tcPr>
          <w:p>
            <w:pPr>
              <w:widowControl/>
              <w:adjustRightInd w:val="0"/>
              <w:snapToGrid w:val="0"/>
              <w:jc w:val="center"/>
              <w:rPr>
                <w:bCs/>
                <w:spacing w:val="-6"/>
                <w:kern w:val="0"/>
                <w:szCs w:val="32"/>
              </w:rPr>
            </w:pPr>
          </w:p>
        </w:tc>
        <w:tc>
          <w:tcPr>
            <w:tcW w:w="1161" w:type="pct"/>
            <w:vMerge w:val="continue"/>
            <w:shd w:val="clear" w:color="auto" w:fill="auto"/>
            <w:vAlign w:val="center"/>
          </w:tcPr>
          <w:p>
            <w:pPr>
              <w:adjustRightInd w:val="0"/>
              <w:snapToGrid w:val="0"/>
              <w:jc w:val="center"/>
              <w:rPr>
                <w:bCs/>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1848" w:type="pct"/>
            <w:gridSpan w:val="2"/>
            <w:shd w:val="clear" w:color="auto" w:fill="auto"/>
            <w:vAlign w:val="center"/>
          </w:tcPr>
          <w:p>
            <w:pPr>
              <w:adjustRightInd w:val="0"/>
              <w:snapToGrid w:val="0"/>
              <w:jc w:val="center"/>
              <w:rPr>
                <w:bCs/>
                <w:spacing w:val="-6"/>
                <w:kern w:val="0"/>
                <w:szCs w:val="32"/>
              </w:rPr>
            </w:pPr>
            <w:r>
              <w:rPr>
                <w:rFonts w:hint="eastAsia"/>
                <w:bCs/>
                <w:spacing w:val="-6"/>
                <w:kern w:val="0"/>
                <w:szCs w:val="32"/>
              </w:rPr>
              <w:t>水产养殖业</w:t>
            </w:r>
          </w:p>
        </w:tc>
        <w:tc>
          <w:tcPr>
            <w:tcW w:w="1024" w:type="pct"/>
            <w:shd w:val="clear" w:color="auto" w:fill="auto"/>
            <w:vAlign w:val="center"/>
          </w:tcPr>
          <w:p>
            <w:pPr>
              <w:widowControl/>
              <w:adjustRightInd w:val="0"/>
              <w:snapToGrid w:val="0"/>
              <w:jc w:val="center"/>
              <w:rPr>
                <w:bCs/>
                <w:spacing w:val="-6"/>
                <w:kern w:val="0"/>
                <w:szCs w:val="32"/>
              </w:rPr>
            </w:pPr>
            <w:bookmarkStart w:id="8" w:name="OLE_LINK47"/>
            <w:bookmarkStart w:id="9" w:name="OLE_LINK48"/>
            <w:r>
              <w:rPr>
                <w:bCs/>
                <w:spacing w:val="-6"/>
                <w:kern w:val="0"/>
                <w:szCs w:val="32"/>
              </w:rPr>
              <w:t>4000</w:t>
            </w:r>
            <w:bookmarkEnd w:id="8"/>
            <w:bookmarkEnd w:id="9"/>
          </w:p>
        </w:tc>
        <w:tc>
          <w:tcPr>
            <w:tcW w:w="967" w:type="pct"/>
            <w:vMerge w:val="continue"/>
            <w:shd w:val="clear" w:color="auto" w:fill="auto"/>
            <w:vAlign w:val="center"/>
          </w:tcPr>
          <w:p>
            <w:pPr>
              <w:widowControl/>
              <w:adjustRightInd w:val="0"/>
              <w:snapToGrid w:val="0"/>
              <w:jc w:val="center"/>
              <w:rPr>
                <w:bCs/>
                <w:spacing w:val="-6"/>
                <w:kern w:val="0"/>
                <w:szCs w:val="32"/>
              </w:rPr>
            </w:pPr>
          </w:p>
        </w:tc>
        <w:tc>
          <w:tcPr>
            <w:tcW w:w="1161" w:type="pct"/>
            <w:vMerge w:val="continue"/>
            <w:shd w:val="clear" w:color="auto" w:fill="auto"/>
            <w:vAlign w:val="center"/>
          </w:tcPr>
          <w:p>
            <w:pPr>
              <w:adjustRightInd w:val="0"/>
              <w:snapToGrid w:val="0"/>
              <w:jc w:val="center"/>
              <w:rPr>
                <w:bCs/>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848" w:type="pct"/>
            <w:gridSpan w:val="2"/>
            <w:shd w:val="clear" w:color="auto" w:fill="auto"/>
            <w:vAlign w:val="center"/>
          </w:tcPr>
          <w:p>
            <w:pPr>
              <w:adjustRightInd w:val="0"/>
              <w:snapToGrid w:val="0"/>
              <w:jc w:val="center"/>
              <w:rPr>
                <w:bCs/>
                <w:spacing w:val="-6"/>
                <w:kern w:val="0"/>
                <w:szCs w:val="32"/>
              </w:rPr>
            </w:pPr>
            <w:r>
              <w:rPr>
                <w:rFonts w:hint="eastAsia"/>
                <w:bCs/>
                <w:spacing w:val="-6"/>
                <w:kern w:val="0"/>
                <w:szCs w:val="32"/>
              </w:rPr>
              <w:t>林业</w:t>
            </w:r>
          </w:p>
        </w:tc>
        <w:tc>
          <w:tcPr>
            <w:tcW w:w="1024" w:type="pct"/>
            <w:shd w:val="clear" w:color="auto" w:fill="auto"/>
            <w:vAlign w:val="center"/>
          </w:tcPr>
          <w:p>
            <w:pPr>
              <w:widowControl/>
              <w:adjustRightInd w:val="0"/>
              <w:snapToGrid w:val="0"/>
              <w:jc w:val="center"/>
              <w:rPr>
                <w:bCs/>
                <w:spacing w:val="-6"/>
                <w:kern w:val="0"/>
                <w:szCs w:val="32"/>
              </w:rPr>
            </w:pPr>
            <w:r>
              <w:rPr>
                <w:bCs/>
                <w:spacing w:val="-6"/>
                <w:kern w:val="0"/>
                <w:szCs w:val="32"/>
              </w:rPr>
              <w:t>4000</w:t>
            </w:r>
          </w:p>
        </w:tc>
        <w:tc>
          <w:tcPr>
            <w:tcW w:w="967" w:type="pct"/>
            <w:vMerge w:val="continue"/>
            <w:shd w:val="clear" w:color="auto" w:fill="auto"/>
            <w:vAlign w:val="center"/>
          </w:tcPr>
          <w:p>
            <w:pPr>
              <w:widowControl/>
              <w:adjustRightInd w:val="0"/>
              <w:snapToGrid w:val="0"/>
              <w:jc w:val="center"/>
              <w:rPr>
                <w:bCs/>
                <w:spacing w:val="-6"/>
                <w:kern w:val="0"/>
                <w:szCs w:val="32"/>
              </w:rPr>
            </w:pPr>
          </w:p>
        </w:tc>
        <w:tc>
          <w:tcPr>
            <w:tcW w:w="1161" w:type="pct"/>
            <w:vMerge w:val="continue"/>
            <w:shd w:val="clear" w:color="auto" w:fill="auto"/>
            <w:vAlign w:val="center"/>
          </w:tcPr>
          <w:p>
            <w:pPr>
              <w:adjustRightInd w:val="0"/>
              <w:snapToGrid w:val="0"/>
              <w:jc w:val="center"/>
              <w:rPr>
                <w:bCs/>
                <w:kern w:val="0"/>
                <w:szCs w:val="32"/>
              </w:rPr>
            </w:pPr>
          </w:p>
        </w:tc>
      </w:tr>
      <w:bookmarkEnd w:id="6"/>
      <w:bookmarkEnd w:id="7"/>
    </w:tbl>
    <w:p>
      <w:pPr>
        <w:widowControl/>
        <w:adjustRightInd w:val="0"/>
        <w:snapToGrid w:val="0"/>
        <w:spacing w:line="440" w:lineRule="exact"/>
        <w:ind w:left="150" w:leftChars="47"/>
        <w:rPr>
          <w:rFonts w:eastAsia="方正楷体_GBK"/>
          <w:bCs/>
          <w:sz w:val="30"/>
          <w:szCs w:val="30"/>
        </w:rPr>
      </w:pPr>
      <w:r>
        <w:rPr>
          <w:rFonts w:hint="eastAsia" w:eastAsia="方正楷体_GBK"/>
          <w:bCs/>
          <w:sz w:val="30"/>
          <w:szCs w:val="30"/>
        </w:rPr>
        <w:t>备注：</w:t>
      </w:r>
      <w:r>
        <w:rPr>
          <w:rFonts w:eastAsia="方正楷体_GBK"/>
          <w:bCs/>
          <w:sz w:val="30"/>
          <w:szCs w:val="30"/>
        </w:rPr>
        <w:t>1</w:t>
      </w:r>
      <w:bookmarkStart w:id="10" w:name="OLE_LINK28"/>
      <w:r>
        <w:rPr>
          <w:rFonts w:hint="eastAsia" w:eastAsia="方正楷体_GBK"/>
          <w:bCs/>
          <w:sz w:val="30"/>
          <w:szCs w:val="30"/>
        </w:rPr>
        <w:t>. 对超过规定限额的农业生产取用地下水，畜牧业、水产养殖业、林业等就其超过部分减按</w:t>
      </w:r>
      <w:r>
        <w:rPr>
          <w:rFonts w:eastAsia="方正楷体_GBK"/>
          <w:bCs/>
          <w:sz w:val="30"/>
          <w:szCs w:val="30"/>
        </w:rPr>
        <w:t>“</w:t>
      </w:r>
      <w:r>
        <w:rPr>
          <w:rFonts w:hint="eastAsia" w:eastAsia="方正楷体_GBK"/>
          <w:bCs/>
          <w:sz w:val="30"/>
          <w:szCs w:val="30"/>
        </w:rPr>
        <w:t>其他行业</w:t>
      </w:r>
      <w:r>
        <w:rPr>
          <w:rFonts w:eastAsia="方正楷体_GBK"/>
          <w:bCs/>
          <w:sz w:val="30"/>
          <w:szCs w:val="30"/>
        </w:rPr>
        <w:t>”</w:t>
      </w:r>
      <w:r>
        <w:rPr>
          <w:rFonts w:hint="eastAsia" w:eastAsia="方正楷体_GBK"/>
          <w:bCs/>
          <w:sz w:val="30"/>
          <w:szCs w:val="30"/>
        </w:rPr>
        <w:t>适用税额的</w:t>
      </w:r>
      <w:r>
        <w:rPr>
          <w:rFonts w:eastAsia="方正楷体_GBK"/>
          <w:bCs/>
          <w:sz w:val="30"/>
          <w:szCs w:val="30"/>
        </w:rPr>
        <w:t>50%</w:t>
      </w:r>
      <w:r>
        <w:rPr>
          <w:rFonts w:hint="eastAsia" w:eastAsia="方正楷体_GBK"/>
          <w:bCs/>
          <w:sz w:val="30"/>
          <w:szCs w:val="30"/>
        </w:rPr>
        <w:t>征收水资源税。</w:t>
      </w:r>
      <w:bookmarkEnd w:id="10"/>
    </w:p>
    <w:p>
      <w:pPr>
        <w:adjustRightInd w:val="0"/>
        <w:snapToGrid w:val="0"/>
        <w:spacing w:line="440" w:lineRule="exact"/>
        <w:ind w:left="902" w:leftChars="282" w:firstLine="150" w:firstLineChars="50"/>
        <w:rPr>
          <w:rFonts w:eastAsia="方正楷体_GBK"/>
          <w:bCs/>
          <w:sz w:val="30"/>
          <w:szCs w:val="30"/>
        </w:rPr>
      </w:pPr>
      <w:r>
        <w:rPr>
          <w:rFonts w:eastAsia="方正楷体_GBK"/>
          <w:bCs/>
          <w:sz w:val="30"/>
          <w:szCs w:val="30"/>
        </w:rPr>
        <w:t>2</w:t>
      </w:r>
      <w:bookmarkStart w:id="11" w:name="OLE_LINK26"/>
      <w:bookmarkStart w:id="12" w:name="OLE_LINK27"/>
      <w:r>
        <w:rPr>
          <w:rFonts w:hint="eastAsia" w:eastAsia="方正楷体_GBK"/>
          <w:bCs/>
          <w:sz w:val="30"/>
          <w:szCs w:val="30"/>
        </w:rPr>
        <w:t>. 畜牧业中混养的，限额按照养殖种类数量占比最大种类的限额执行。</w:t>
      </w:r>
      <w:bookmarkEnd w:id="11"/>
      <w:bookmarkEnd w:id="12"/>
    </w:p>
    <w:p>
      <w:pPr>
        <w:adjustRightInd w:val="0"/>
        <w:snapToGrid w:val="0"/>
        <w:spacing w:line="440" w:lineRule="exact"/>
        <w:ind w:left="150" w:leftChars="47" w:firstLine="900" w:firstLineChars="300"/>
        <w:rPr>
          <w:bCs/>
          <w:sz w:val="30"/>
          <w:szCs w:val="30"/>
        </w:rPr>
      </w:pPr>
      <w:r>
        <w:rPr>
          <w:rFonts w:eastAsia="方正楷体_GBK"/>
          <w:bCs/>
          <w:sz w:val="30"/>
          <w:szCs w:val="30"/>
        </w:rPr>
        <w:t>3</w:t>
      </w:r>
      <w:r>
        <w:rPr>
          <w:rFonts w:hint="eastAsia" w:eastAsia="方正楷体_GBK"/>
          <w:bCs/>
          <w:sz w:val="30"/>
          <w:szCs w:val="30"/>
        </w:rPr>
        <w:t>. 合法取水指依法取得取水许可证且按取水许可规定条件取水；非法取水指未经批准擅自取水或者未依照批准的取水许可规定条件取水。</w:t>
      </w:r>
    </w:p>
    <w:sectPr>
      <w:footerReference r:id="rId3" w:type="default"/>
      <w:footerReference r:id="rId4"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 w:name="方正楷体_GBK">
    <w:panose1 w:val="03000509000000000000"/>
    <w:charset w:val="86"/>
    <w:family w:val="script"/>
    <w:pitch w:val="default"/>
    <w:sig w:usb0="00000001" w:usb1="080E0000" w:usb2="00000000" w:usb3="00000000" w:csb0="00040000" w:csb1="00000000"/>
  </w:font>
  <w:font w:name="Liberation Serif">
    <w:panose1 w:val="02020603050405020304"/>
    <w:charset w:val="00"/>
    <w:family w:val="auto"/>
    <w:pitch w:val="default"/>
    <w:sig w:usb0="A00002AF" w:usb1="5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91659293"/>
      <w:docPartObj>
        <w:docPartGallery w:val="autotext"/>
      </w:docPartObj>
    </w:sdtPr>
    <w:sdtEndPr>
      <w:rPr>
        <w:sz w:val="28"/>
        <w:szCs w:val="28"/>
      </w:rPr>
    </w:sdtEndPr>
    <w:sdtContent>
      <w:p>
        <w:pPr>
          <w:pStyle w:val="3"/>
          <w:numPr>
            <w:ilvl w:val="0"/>
            <w:numId w:val="1"/>
          </w:numPr>
          <w:jc w:val="right"/>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3</w:t>
        </w:r>
        <w:r>
          <w:rPr>
            <w:sz w:val="28"/>
            <w:szCs w:val="28"/>
          </w:rPr>
          <w:fldChar w:fldCharType="end"/>
        </w:r>
        <w:r>
          <w:rPr>
            <w:rFonts w:hint="eastAsia"/>
            <w:sz w:val="28"/>
            <w:szCs w:val="28"/>
          </w:rPr>
          <w:t xml:space="preserve"> —</w:t>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10120983"/>
      <w:docPartObj>
        <w:docPartGallery w:val="autotext"/>
      </w:docPartObj>
    </w:sdtPr>
    <w:sdtEndPr>
      <w:rPr>
        <w:sz w:val="28"/>
        <w:szCs w:val="28"/>
      </w:rPr>
    </w:sdtEndPr>
    <w:sdtContent>
      <w:p>
        <w:pPr>
          <w:pStyle w:val="3"/>
          <w:numPr>
            <w:ilvl w:val="0"/>
            <w:numId w:val="2"/>
          </w:numPr>
          <w:ind w:right="360"/>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4</w:t>
        </w:r>
        <w:r>
          <w:rPr>
            <w:sz w:val="28"/>
            <w:szCs w:val="28"/>
          </w:rPr>
          <w:fldChar w:fldCharType="end"/>
        </w:r>
        <w:r>
          <w:rPr>
            <w:rFonts w:hint="eastAsia"/>
            <w:sz w:val="28"/>
            <w:szCs w:val="28"/>
          </w:rPr>
          <w:t xml:space="preserve"> —</w:t>
        </w:r>
      </w:p>
    </w:sdtContent>
  </w:sdt>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0B4CDF"/>
    <w:multiLevelType w:val="multilevel"/>
    <w:tmpl w:val="3B0B4CDF"/>
    <w:lvl w:ilvl="0" w:tentative="0">
      <w:start w:val="0"/>
      <w:numFmt w:val="bullet"/>
      <w:lvlText w:val="—"/>
      <w:lvlJc w:val="left"/>
      <w:pPr>
        <w:ind w:left="360" w:hanging="360"/>
      </w:pPr>
      <w:rPr>
        <w:rFonts w:hint="default" w:ascii="Times New Roman" w:hAnsi="Times New Roman" w:eastAsia="方正仿宋_GBK" w:cs="Times New Roman"/>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584346C8"/>
    <w:multiLevelType w:val="multilevel"/>
    <w:tmpl w:val="584346C8"/>
    <w:lvl w:ilvl="0" w:tentative="0">
      <w:start w:val="0"/>
      <w:numFmt w:val="bullet"/>
      <w:lvlText w:val="—"/>
      <w:lvlJc w:val="left"/>
      <w:pPr>
        <w:ind w:left="360" w:hanging="360"/>
      </w:pPr>
      <w:rPr>
        <w:rFonts w:hint="default" w:ascii="Times New Roman" w:hAnsi="Times New Roman" w:eastAsia="方正仿宋_GBK" w:cs="Times New Roman"/>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doNotDisplayPageBoundaries w:val="1"/>
  <w:embedSystemFonts/>
  <w:bordersDoNotSurroundHeader w:val="1"/>
  <w:bordersDoNotSurroundFooter w:val="1"/>
  <w:documentProtection w:enforcement="0"/>
  <w:defaultTabStop w:val="420"/>
  <w:evenAndOddHeaders w:val="1"/>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A55"/>
    <w:rsid w:val="000006DF"/>
    <w:rsid w:val="0008227E"/>
    <w:rsid w:val="000856A4"/>
    <w:rsid w:val="0009509B"/>
    <w:rsid w:val="000E33C0"/>
    <w:rsid w:val="000E5785"/>
    <w:rsid w:val="000F5343"/>
    <w:rsid w:val="001120E7"/>
    <w:rsid w:val="00207E9F"/>
    <w:rsid w:val="0024313F"/>
    <w:rsid w:val="002532C2"/>
    <w:rsid w:val="00325C19"/>
    <w:rsid w:val="003518F3"/>
    <w:rsid w:val="003C632C"/>
    <w:rsid w:val="00422DF9"/>
    <w:rsid w:val="00493CAE"/>
    <w:rsid w:val="004E797F"/>
    <w:rsid w:val="005079E8"/>
    <w:rsid w:val="00586157"/>
    <w:rsid w:val="005B7B77"/>
    <w:rsid w:val="0061747E"/>
    <w:rsid w:val="00645989"/>
    <w:rsid w:val="00667720"/>
    <w:rsid w:val="006A7205"/>
    <w:rsid w:val="00845AD7"/>
    <w:rsid w:val="008901FB"/>
    <w:rsid w:val="00896A53"/>
    <w:rsid w:val="008A0A92"/>
    <w:rsid w:val="008F0871"/>
    <w:rsid w:val="00963D57"/>
    <w:rsid w:val="009C391E"/>
    <w:rsid w:val="00A21A55"/>
    <w:rsid w:val="00AA7290"/>
    <w:rsid w:val="00AB5A4B"/>
    <w:rsid w:val="00AC2FB7"/>
    <w:rsid w:val="00AE6389"/>
    <w:rsid w:val="00B76840"/>
    <w:rsid w:val="00BC02A3"/>
    <w:rsid w:val="00C22B34"/>
    <w:rsid w:val="00C80192"/>
    <w:rsid w:val="00C931D1"/>
    <w:rsid w:val="00CA2048"/>
    <w:rsid w:val="00CA5891"/>
    <w:rsid w:val="00CB3E5A"/>
    <w:rsid w:val="00D37946"/>
    <w:rsid w:val="00DA16BF"/>
    <w:rsid w:val="00DB4611"/>
    <w:rsid w:val="00DF3C56"/>
    <w:rsid w:val="00E25D89"/>
    <w:rsid w:val="00E617E4"/>
    <w:rsid w:val="00E71876"/>
    <w:rsid w:val="00EB3C7C"/>
    <w:rsid w:val="00F13B9E"/>
    <w:rsid w:val="00F216AD"/>
    <w:rsid w:val="00F33A31"/>
    <w:rsid w:val="00F549DA"/>
    <w:rsid w:val="00F607F3"/>
    <w:rsid w:val="00F658C2"/>
    <w:rsid w:val="01F2068A"/>
    <w:rsid w:val="0CAA6C73"/>
    <w:rsid w:val="1878576D"/>
    <w:rsid w:val="18D44D44"/>
    <w:rsid w:val="1BBE6E86"/>
    <w:rsid w:val="208B24C8"/>
    <w:rsid w:val="2F8F5CD7"/>
    <w:rsid w:val="59FB3A23"/>
    <w:rsid w:val="6BD50AEE"/>
    <w:rsid w:val="7B6A44CF"/>
    <w:rsid w:val="7BFF68BE"/>
    <w:rsid w:val="7EF8EAF3"/>
    <w:rsid w:val="B6DD3EE7"/>
    <w:rsid w:val="D7BF6037"/>
    <w:rsid w:val="DF7F4DE4"/>
    <w:rsid w:val="F3F4D88F"/>
    <w:rsid w:val="F67DB5AC"/>
    <w:rsid w:val="FFB734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imes New Roman"/>
      <w:kern w:val="2"/>
      <w:sz w:val="32"/>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qFormat/>
    <w:uiPriority w:val="0"/>
    <w:rPr>
      <w:sz w:val="18"/>
      <w:szCs w:val="18"/>
    </w:r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批注框文本 Char"/>
    <w:basedOn w:val="6"/>
    <w:link w:val="2"/>
    <w:qFormat/>
    <w:uiPriority w:val="0"/>
    <w:rPr>
      <w:rFonts w:ascii="Times New Roman" w:hAnsi="Times New Roman" w:eastAsia="方正仿宋_GBK" w:cs="Times New Roman"/>
      <w:kern w:val="2"/>
      <w:sz w:val="18"/>
      <w:szCs w:val="18"/>
    </w:rPr>
  </w:style>
  <w:style w:type="character" w:customStyle="1" w:styleId="8">
    <w:name w:val="页眉 Char"/>
    <w:basedOn w:val="6"/>
    <w:link w:val="4"/>
    <w:qFormat/>
    <w:uiPriority w:val="0"/>
    <w:rPr>
      <w:rFonts w:ascii="Times New Roman" w:hAnsi="Times New Roman" w:eastAsia="方正仿宋_GBK" w:cs="Times New Roman"/>
      <w:kern w:val="2"/>
      <w:sz w:val="18"/>
      <w:szCs w:val="18"/>
    </w:rPr>
  </w:style>
  <w:style w:type="character" w:customStyle="1" w:styleId="9">
    <w:name w:val="页脚 Char"/>
    <w:basedOn w:val="6"/>
    <w:link w:val="3"/>
    <w:qFormat/>
    <w:uiPriority w:val="99"/>
    <w:rPr>
      <w:rFonts w:ascii="Times New Roman" w:hAnsi="Times New Roman" w:eastAsia="方正仿宋_GBK"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190</Words>
  <Characters>1088</Characters>
  <Lines>9</Lines>
  <Paragraphs>2</Paragraphs>
  <TotalTime>2</TotalTime>
  <ScaleCrop>false</ScaleCrop>
  <LinksUpToDate>false</LinksUpToDate>
  <CharactersWithSpaces>1276</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2026-01-04T15:30:00Z</dcterms:created>
  <dc:creator>Administrator</dc:creator>
  <cp:lastModifiedBy>kylin</cp:lastModifiedBy>
  <cp:lastPrinted>2026-01-04T15:22:00Z</cp:lastPrinted>
  <dcterms:modified xsi:type="dcterms:W3CDTF">2026-01-05T10:39:36Z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KSOTemplateDocerSaveRecord">
    <vt:lpwstr>eyJoZGlkIjoiNzg2N2IxNzhjOGMzZTA5OWI3MGI2NDViMmZmNmFhMjEiLCJ1c2VySWQiOiIxMzI2NTk5Mzk0In0=</vt:lpwstr>
  </property>
  <property fmtid="{D5CDD505-2E9C-101B-9397-08002B2CF9AE}" pid="4" name="ICV">
    <vt:lpwstr>E0F5A225F1A6AC0C68245B6978A0AE6B</vt:lpwstr>
  </property>
</Properties>
</file>